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00" w:firstLineChars="500"/>
        <w:jc w:val="both"/>
      </w:pPr>
      <w:bookmarkStart w:id="0" w:name="_Hlk125114517"/>
      <w:bookmarkStart w:id="1" w:name="_Hlk125114476"/>
      <w:r>
        <w:rPr>
          <w:rFonts w:hint="eastAsia"/>
          <w:sz w:val="30"/>
          <w:szCs w:val="30"/>
        </w:rPr>
        <w:t>社会主义市场经济理论</w:t>
      </w:r>
      <w:r>
        <w:rPr>
          <w:rFonts w:hint="eastAsia"/>
          <w:sz w:val="30"/>
          <w:szCs w:val="30"/>
          <w:lang w:val="en-US" w:eastAsia="zh-CN"/>
        </w:rPr>
        <w:t>基础</w:t>
      </w:r>
      <w:r>
        <w:rPr>
          <w:rFonts w:hint="eastAsia"/>
          <w:sz w:val="30"/>
          <w:szCs w:val="30"/>
        </w:rPr>
        <w:t>数学模型</w:t>
      </w:r>
    </w:p>
    <w:p>
      <w:pPr>
        <w:ind w:firstLine="2730" w:firstLineChars="1300"/>
      </w:pPr>
    </w:p>
    <w:p>
      <w:pPr>
        <w:ind w:firstLine="0" w:firstLineChars="0"/>
        <w:jc w:val="center"/>
      </w:pPr>
      <w:r>
        <w:rPr>
          <w:rFonts w:hint="eastAsia"/>
        </w:rPr>
        <w:t>作者信息和论文概要</w:t>
      </w:r>
    </w:p>
    <w:p>
      <w:pPr>
        <w:ind w:firstLine="422"/>
        <w:rPr>
          <w:rFonts w:asciiTheme="minorEastAsia" w:hAnsiTheme="minorEastAsia" w:eastAsiaTheme="minorEastAsia" w:cstheme="minorEastAsia"/>
          <w:b/>
          <w:bCs/>
          <w:szCs w:val="21"/>
        </w:rPr>
      </w:pPr>
    </w:p>
    <w:p>
      <w:pPr>
        <w:ind w:firstLine="42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作者信息</w:t>
      </w:r>
      <w:r>
        <w:rPr>
          <w:rFonts w:hint="eastAsia" w:asciiTheme="minorEastAsia" w:hAnsiTheme="minorEastAsia" w:eastAsiaTheme="minorEastAsia" w:cstheme="minorEastAsia"/>
          <w:szCs w:val="21"/>
        </w:rPr>
        <w:t>：汪思波，1981-1986年清华大学工程物理系反应堆工程专业本科生，1986-1989年清华大学核能技术研究所管理工程专业硕士研究生，2002年2月-2003年4月UC Berkeley Extension 国际金融课程。现任深圳市卓尔信投资管理有限公司总经理</w:t>
      </w:r>
      <w:r>
        <w:rPr>
          <w:rFonts w:asciiTheme="minorEastAsia" w:hAnsiTheme="minorEastAsia" w:eastAsiaTheme="minorEastAsia" w:cstheme="minorEastAsia"/>
          <w:szCs w:val="21"/>
        </w:rPr>
        <w:t>，股票投资职业</w:t>
      </w:r>
      <w:r>
        <w:rPr>
          <w:rFonts w:hint="eastAsia" w:asciiTheme="minorEastAsia" w:hAnsiTheme="minorEastAsia" w:eastAsiaTheme="minorEastAsia" w:cstheme="minorEastAsia"/>
          <w:szCs w:val="21"/>
        </w:rPr>
        <w:t>。电邮：wangsb98@21cn.com，手机13922863683，住址：深圳市龙华区玉龙路圣莫丽斯。</w:t>
      </w:r>
    </w:p>
    <w:p>
      <w:pPr>
        <w:ind w:firstLine="422"/>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b/>
          <w:bCs/>
          <w:szCs w:val="21"/>
          <w:lang w:val="en-US" w:eastAsia="zh-CN"/>
        </w:rPr>
        <w:t>马克思主义</w:t>
      </w:r>
      <w:r>
        <w:rPr>
          <w:rFonts w:hint="eastAsia" w:ascii="微软雅黑" w:hAnsi="微软雅黑" w:eastAsia="微软雅黑" w:cs="微软雅黑"/>
          <w:b/>
          <w:bCs/>
          <w:szCs w:val="21"/>
          <w:lang w:val="en-US" w:eastAsia="zh-CN"/>
        </w:rPr>
        <w:t>、</w:t>
      </w:r>
      <w:r>
        <w:rPr>
          <w:rFonts w:hint="eastAsia" w:asciiTheme="minorEastAsia" w:hAnsiTheme="minorEastAsia" w:eastAsiaTheme="minorEastAsia" w:cstheme="minorEastAsia"/>
          <w:b/>
          <w:bCs/>
          <w:szCs w:val="21"/>
          <w:lang w:val="en-US" w:eastAsia="zh-CN"/>
        </w:rPr>
        <w:t>习近平总书记及中共几代领导人关于社会主义</w:t>
      </w:r>
      <w:r>
        <w:rPr>
          <w:rFonts w:hint="default" w:asciiTheme="minorEastAsia" w:hAnsiTheme="minorEastAsia" w:eastAsiaTheme="minorEastAsia" w:cstheme="minorEastAsia"/>
          <w:b/>
          <w:bCs/>
          <w:szCs w:val="21"/>
          <w:lang w:eastAsia="zh-CN"/>
        </w:rPr>
        <w:t>市场</w:t>
      </w:r>
      <w:r>
        <w:rPr>
          <w:rFonts w:hint="eastAsia" w:asciiTheme="minorEastAsia" w:hAnsiTheme="minorEastAsia" w:eastAsiaTheme="minorEastAsia" w:cstheme="minorEastAsia"/>
          <w:b/>
          <w:bCs/>
          <w:szCs w:val="21"/>
          <w:lang w:val="en-US" w:eastAsia="zh-CN"/>
        </w:rPr>
        <w:t>经济的论述</w:t>
      </w:r>
      <w:r>
        <w:rPr>
          <w:rFonts w:hint="eastAsia" w:asciiTheme="minorEastAsia" w:hAnsiTheme="minorEastAsia" w:eastAsiaTheme="minorEastAsia" w:cstheme="minorEastAsia"/>
          <w:szCs w:val="21"/>
          <w:lang w:val="en-US" w:eastAsia="zh-CN"/>
        </w:rPr>
        <w:t>：马克思主义和习近平总书记及中共几代领导人关于社会主义市场经济的论述是伟大的哲学思想，是辩证唯物主义和历史唯物主义，主张党的领导</w:t>
      </w:r>
      <w:r>
        <w:rPr>
          <w:rFonts w:hint="eastAsia" w:ascii="微软雅黑" w:hAnsi="微软雅黑" w:eastAsia="微软雅黑" w:cs="微软雅黑"/>
          <w:szCs w:val="21"/>
          <w:lang w:val="en-US" w:eastAsia="zh-CN"/>
        </w:rPr>
        <w:t>、</w:t>
      </w:r>
      <w:r>
        <w:rPr>
          <w:rFonts w:hint="eastAsia" w:asciiTheme="minorEastAsia" w:hAnsiTheme="minorEastAsia" w:eastAsiaTheme="minorEastAsia" w:cstheme="minorEastAsia"/>
          <w:szCs w:val="21"/>
          <w:lang w:val="en-US" w:eastAsia="zh-CN"/>
        </w:rPr>
        <w:t>人民经济和共同富裕。本文尝试把马克思主义和习近平及中共几代领导人关于社会主义市场经济的论述形式逻辑化，即数学模型化，从数学模型的视角指出具体的政府政策措施和政府政策边界。</w:t>
      </w:r>
    </w:p>
    <w:p>
      <w:pPr>
        <w:ind w:firstLine="422"/>
        <w:rPr>
          <w:rFonts w:hint="eastAsia" w:asciiTheme="minorEastAsia" w:hAnsiTheme="minorEastAsia" w:eastAsiaTheme="minorEastAsia" w:cstheme="minorEastAsia"/>
          <w:szCs w:val="21"/>
          <w:lang w:val="en-US" w:eastAsia="zh-CN"/>
        </w:rPr>
      </w:pPr>
      <w:r>
        <w:rPr>
          <w:rFonts w:hint="default" w:asciiTheme="minorEastAsia" w:hAnsiTheme="minorEastAsia" w:eastAsiaTheme="minorEastAsia" w:cstheme="minorEastAsia"/>
          <w:b/>
          <w:bCs/>
          <w:szCs w:val="21"/>
          <w:lang w:eastAsia="zh-CN"/>
        </w:rPr>
        <w:t>西方市场主流经济理论</w:t>
      </w:r>
      <w:r>
        <w:rPr>
          <w:rFonts w:hint="eastAsia" w:asciiTheme="minorEastAsia" w:hAnsiTheme="minorEastAsia" w:eastAsiaTheme="minorEastAsia" w:cstheme="minorEastAsia"/>
          <w:b/>
          <w:bCs/>
          <w:szCs w:val="21"/>
          <w:lang w:val="en-US" w:eastAsia="zh-CN"/>
        </w:rPr>
        <w:t>新古典</w:t>
      </w:r>
      <w:r>
        <w:rPr>
          <w:rFonts w:hint="default" w:asciiTheme="minorEastAsia" w:hAnsiTheme="minorEastAsia" w:eastAsiaTheme="minorEastAsia" w:cstheme="minorEastAsia"/>
          <w:b/>
          <w:bCs/>
          <w:szCs w:val="21"/>
          <w:lang w:eastAsia="zh-CN"/>
        </w:rPr>
        <w:t>学派</w:t>
      </w:r>
      <w:r>
        <w:rPr>
          <w:rFonts w:hint="eastAsia" w:asciiTheme="minorEastAsia" w:hAnsiTheme="minorEastAsia" w:eastAsiaTheme="minorEastAsia" w:cstheme="minorEastAsia"/>
          <w:b/>
          <w:bCs/>
          <w:szCs w:val="21"/>
          <w:lang w:val="en-US" w:eastAsia="zh-CN"/>
        </w:rPr>
        <w:t>和凯恩斯</w:t>
      </w:r>
      <w:r>
        <w:rPr>
          <w:rFonts w:hint="default" w:asciiTheme="minorEastAsia" w:hAnsiTheme="minorEastAsia" w:eastAsiaTheme="minorEastAsia" w:cstheme="minorEastAsia"/>
          <w:b/>
          <w:bCs/>
          <w:szCs w:val="21"/>
          <w:lang w:eastAsia="zh-CN"/>
        </w:rPr>
        <w:t>学派</w:t>
      </w:r>
      <w:r>
        <w:rPr>
          <w:rFonts w:hint="eastAsia" w:asciiTheme="minorEastAsia" w:hAnsiTheme="minorEastAsia" w:eastAsiaTheme="minorEastAsia" w:cstheme="minorEastAsia"/>
          <w:b/>
          <w:bCs/>
          <w:szCs w:val="21"/>
          <w:lang w:val="en-US" w:eastAsia="zh-CN"/>
        </w:rPr>
        <w:t>：</w:t>
      </w:r>
      <w:r>
        <w:rPr>
          <w:rFonts w:hint="eastAsia" w:asciiTheme="minorEastAsia" w:hAnsiTheme="minorEastAsia" w:eastAsiaTheme="minorEastAsia" w:cstheme="minorEastAsia"/>
          <w:szCs w:val="21"/>
          <w:lang w:val="en-US" w:eastAsia="zh-CN"/>
        </w:rPr>
        <w:t>本文全面深入分析了</w:t>
      </w:r>
      <w:r>
        <w:rPr>
          <w:rFonts w:hint="default" w:asciiTheme="minorEastAsia" w:hAnsiTheme="minorEastAsia" w:eastAsiaTheme="minorEastAsia" w:cstheme="minorEastAsia"/>
          <w:szCs w:val="21"/>
          <w:lang w:eastAsia="zh-CN"/>
        </w:rPr>
        <w:t>西方主流市场经济理论</w:t>
      </w:r>
      <w:r>
        <w:rPr>
          <w:rFonts w:hint="eastAsia" w:asciiTheme="minorEastAsia" w:hAnsiTheme="minorEastAsia" w:eastAsiaTheme="minorEastAsia" w:cstheme="minorEastAsia"/>
          <w:szCs w:val="21"/>
          <w:lang w:val="en-US" w:eastAsia="zh-CN"/>
        </w:rPr>
        <w:t>新古典</w:t>
      </w:r>
      <w:r>
        <w:rPr>
          <w:rFonts w:hint="default" w:asciiTheme="minorEastAsia" w:hAnsiTheme="minorEastAsia" w:eastAsiaTheme="minorEastAsia" w:cstheme="minorEastAsia"/>
          <w:szCs w:val="21"/>
          <w:lang w:eastAsia="zh-CN"/>
        </w:rPr>
        <w:t>学派</w:t>
      </w:r>
      <w:r>
        <w:rPr>
          <w:rFonts w:hint="eastAsia" w:asciiTheme="minorEastAsia" w:hAnsiTheme="minorEastAsia" w:eastAsiaTheme="minorEastAsia" w:cstheme="minorEastAsia"/>
          <w:szCs w:val="21"/>
          <w:lang w:val="en-US" w:eastAsia="zh-CN"/>
        </w:rPr>
        <w:t>和凯恩斯</w:t>
      </w:r>
      <w:r>
        <w:rPr>
          <w:rFonts w:hint="default" w:asciiTheme="minorEastAsia" w:hAnsiTheme="minorEastAsia" w:eastAsiaTheme="minorEastAsia" w:cstheme="minorEastAsia"/>
          <w:szCs w:val="21"/>
          <w:lang w:eastAsia="zh-CN"/>
        </w:rPr>
        <w:t>学派</w:t>
      </w:r>
      <w:r>
        <w:rPr>
          <w:rFonts w:hint="eastAsia" w:asciiTheme="minorEastAsia" w:hAnsiTheme="minorEastAsia" w:eastAsiaTheme="minorEastAsia" w:cstheme="minorEastAsia"/>
          <w:szCs w:val="21"/>
          <w:lang w:val="en-US" w:eastAsia="zh-CN"/>
        </w:rPr>
        <w:t>的形式逻辑体系</w:t>
      </w:r>
      <w:r>
        <w:rPr>
          <w:rFonts w:hint="default" w:asciiTheme="minorEastAsia" w:hAnsiTheme="minorEastAsia" w:eastAsiaTheme="minorEastAsia" w:cstheme="minorEastAsia"/>
          <w:szCs w:val="21"/>
          <w:lang w:eastAsia="zh-CN"/>
        </w:rPr>
        <w:t>即数学模型</w:t>
      </w:r>
      <w:r>
        <w:rPr>
          <w:rFonts w:hint="eastAsia" w:asciiTheme="minorEastAsia" w:hAnsiTheme="minorEastAsia" w:eastAsiaTheme="minorEastAsia" w:cstheme="minorEastAsia"/>
          <w:szCs w:val="21"/>
          <w:lang w:val="en-US" w:eastAsia="zh-CN"/>
        </w:rPr>
        <w:t>，</w:t>
      </w:r>
      <w:r>
        <w:rPr>
          <w:rFonts w:hint="default" w:asciiTheme="minorEastAsia" w:hAnsiTheme="minorEastAsia" w:eastAsiaTheme="minorEastAsia" w:cstheme="minorEastAsia"/>
          <w:szCs w:val="21"/>
          <w:lang w:eastAsia="zh-CN"/>
        </w:rPr>
        <w:t>比较全面</w:t>
      </w:r>
      <w:r>
        <w:rPr>
          <w:rFonts w:hint="eastAsia" w:asciiTheme="minorEastAsia" w:hAnsiTheme="minorEastAsia" w:eastAsiaTheme="minorEastAsia" w:cstheme="minorEastAsia"/>
          <w:szCs w:val="21"/>
          <w:lang w:val="en-US" w:eastAsia="zh-CN"/>
        </w:rPr>
        <w:t>细致地指出了其逻辑缺陷，改进了其逻辑不足。</w:t>
      </w:r>
    </w:p>
    <w:p>
      <w:pPr>
        <w:ind w:firstLine="422"/>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b/>
          <w:bCs/>
          <w:szCs w:val="21"/>
          <w:lang w:val="en-US" w:eastAsia="zh-CN"/>
        </w:rPr>
        <w:t>百年未有之大变局：</w:t>
      </w:r>
      <w:r>
        <w:rPr>
          <w:rFonts w:hint="eastAsia" w:asciiTheme="minorEastAsia" w:hAnsiTheme="minorEastAsia" w:eastAsiaTheme="minorEastAsia" w:cstheme="minorEastAsia"/>
          <w:szCs w:val="21"/>
          <w:lang w:val="en-US" w:eastAsia="zh-CN"/>
        </w:rPr>
        <w:t>当前国际关系变得愈发紧张，最重要的原因是中国社会主义市场经济制度比西方资本主义市场经济制度优越，中国将打破美国对国际秩序的垄断</w:t>
      </w:r>
      <w:r>
        <w:rPr>
          <w:rFonts w:hint="default" w:asciiTheme="minorEastAsia" w:hAnsiTheme="minorEastAsia" w:eastAsiaTheme="minorEastAsia" w:cstheme="minorEastAsia"/>
          <w:szCs w:val="21"/>
          <w:lang w:eastAsia="zh-CN"/>
        </w:rPr>
        <w:t>成</w:t>
      </w:r>
      <w:r>
        <w:rPr>
          <w:rFonts w:hint="eastAsia" w:asciiTheme="minorEastAsia" w:hAnsiTheme="minorEastAsia" w:eastAsiaTheme="minorEastAsia" w:cstheme="minorEastAsia"/>
          <w:szCs w:val="21"/>
          <w:lang w:val="en-US" w:eastAsia="zh-CN"/>
        </w:rPr>
        <w:t>为</w:t>
      </w:r>
      <w:r>
        <w:rPr>
          <w:rFonts w:hint="default" w:asciiTheme="minorEastAsia" w:hAnsiTheme="minorEastAsia" w:eastAsiaTheme="minorEastAsia" w:cstheme="minorEastAsia"/>
          <w:szCs w:val="21"/>
          <w:lang w:eastAsia="zh-CN"/>
        </w:rPr>
        <w:t>主导国际秩序的最重要国家之一</w:t>
      </w:r>
      <w:r>
        <w:rPr>
          <w:rFonts w:hint="eastAsia" w:asciiTheme="minorEastAsia" w:hAnsiTheme="minorEastAsia" w:eastAsiaTheme="minorEastAsia" w:cstheme="minorEastAsia"/>
          <w:szCs w:val="21"/>
          <w:lang w:val="en-US" w:eastAsia="zh-CN"/>
        </w:rPr>
        <w:t>。要阐述社会主义市场经济的优越性，就要从市场经济的基础逻辑入手，从商品交换，商品生产和商品消费的基础逻辑入手，本文在这方面进行了探索。</w:t>
      </w:r>
    </w:p>
    <w:p>
      <w:pPr>
        <w:ind w:firstLine="422"/>
        <w:rPr>
          <w:rFonts w:hint="default" w:asciiTheme="minorEastAsia" w:hAnsiTheme="minorEastAsia" w:eastAsiaTheme="minorEastAsia" w:cstheme="minorEastAsia"/>
          <w:szCs w:val="21"/>
          <w:lang w:val="en-US" w:eastAsia="zh-CN"/>
        </w:rPr>
      </w:pPr>
    </w:p>
    <w:p>
      <w:pPr>
        <w:ind w:firstLine="422"/>
        <w:rPr>
          <w:rFonts w:ascii="仿宋" w:hAnsi="仿宋" w:eastAsia="仿宋"/>
        </w:rPr>
      </w:pPr>
      <w:r>
        <w:rPr>
          <w:rFonts w:hint="eastAsia" w:ascii="仿宋" w:hAnsi="仿宋" w:eastAsia="仿宋"/>
          <w:b/>
          <w:bCs/>
        </w:rPr>
        <w:t>摘要：</w:t>
      </w:r>
      <w:r>
        <w:rPr>
          <w:rFonts w:ascii="仿宋" w:hAnsi="仿宋" w:eastAsia="仿宋" w:cs="仿宋"/>
        </w:rPr>
        <w:t>本文</w:t>
      </w:r>
      <w:r>
        <w:rPr>
          <w:rFonts w:hint="eastAsia" w:ascii="仿宋" w:hAnsi="仿宋" w:eastAsia="仿宋" w:cs="仿宋"/>
        </w:rPr>
        <w:t>以马克思《资本论》和习近平总书记等几代中共领导人关于社会主义市场经济的论述为经济思想基础</w:t>
      </w:r>
      <w:r>
        <w:rPr>
          <w:rFonts w:ascii="仿宋" w:hAnsi="仿宋" w:eastAsia="仿宋" w:cs="仿宋"/>
        </w:rPr>
        <w:t>，综合吸收新古典学派和凯恩斯学派的研究成果，提出</w:t>
      </w:r>
      <w:r>
        <w:rPr>
          <w:rFonts w:hint="eastAsia" w:ascii="仿宋" w:hAnsi="仿宋" w:eastAsia="仿宋" w:cs="仿宋"/>
        </w:rPr>
        <w:t>社会主义市场经济理论</w:t>
      </w:r>
      <w:r>
        <w:rPr>
          <w:rFonts w:hint="eastAsia" w:ascii="仿宋" w:hAnsi="仿宋" w:eastAsia="仿宋" w:cs="仿宋"/>
          <w:lang w:val="en-US" w:eastAsia="zh-CN"/>
        </w:rPr>
        <w:t>基础</w:t>
      </w:r>
      <w:r>
        <w:rPr>
          <w:rFonts w:hint="eastAsia" w:ascii="仿宋" w:hAnsi="仿宋" w:eastAsia="仿宋" w:cs="仿宋"/>
        </w:rPr>
        <w:t>数学模型，包括微观模型和</w:t>
      </w:r>
      <w:r>
        <w:rPr>
          <w:rFonts w:hint="eastAsia" w:ascii="仿宋" w:hAnsi="仿宋" w:eastAsia="仿宋" w:cs="仿宋"/>
          <w:lang w:val="en-US" w:eastAsia="zh-CN"/>
        </w:rPr>
        <w:t>宏观</w:t>
      </w:r>
      <w:r>
        <w:rPr>
          <w:rFonts w:hint="eastAsia" w:ascii="仿宋" w:hAnsi="仿宋" w:eastAsia="仿宋" w:cs="仿宋"/>
        </w:rPr>
        <w:t>模型。本文</w:t>
      </w:r>
      <w:r>
        <w:rPr>
          <w:rFonts w:hint="default" w:ascii="仿宋" w:hAnsi="仿宋" w:eastAsia="仿宋" w:cs="仿宋"/>
        </w:rPr>
        <w:t>微观模型</w:t>
      </w:r>
      <w:r>
        <w:rPr>
          <w:rFonts w:hint="eastAsia" w:ascii="仿宋" w:hAnsi="仿宋" w:eastAsia="仿宋" w:cs="仿宋"/>
        </w:rPr>
        <w:t>关于市场经济的</w:t>
      </w:r>
      <w:r>
        <w:rPr>
          <w:rFonts w:hint="default" w:ascii="仿宋" w:hAnsi="仿宋" w:eastAsia="仿宋" w:cs="仿宋"/>
        </w:rPr>
        <w:t>三个互相独立的</w:t>
      </w:r>
      <w:r>
        <w:rPr>
          <w:rFonts w:hint="eastAsia" w:ascii="仿宋" w:hAnsi="仿宋" w:eastAsia="仿宋" w:cs="仿宋"/>
        </w:rPr>
        <w:t>基本规律假设</w:t>
      </w:r>
      <w:r>
        <w:rPr>
          <w:rFonts w:hint="default" w:ascii="仿宋" w:hAnsi="仿宋" w:eastAsia="仿宋" w:cs="仿宋"/>
        </w:rPr>
        <w:t>是对新古典微观模型阿罗</w:t>
      </w:r>
      <w:r>
        <w:rPr>
          <w:rFonts w:hint="eastAsia" w:ascii="仿宋" w:hAnsi="仿宋" w:eastAsia="仿宋" w:cs="仿宋"/>
          <w:lang w:val="en-US" w:eastAsia="zh-CN"/>
        </w:rPr>
        <w:t>-</w:t>
      </w:r>
      <w:r>
        <w:rPr>
          <w:rFonts w:hint="default" w:ascii="仿宋" w:hAnsi="仿宋" w:eastAsia="仿宋" w:cs="仿宋"/>
        </w:rPr>
        <w:t>德布鲁一般均衡模型的改进。本文</w:t>
      </w:r>
      <w:r>
        <w:rPr>
          <w:rFonts w:hint="eastAsia" w:ascii="仿宋" w:hAnsi="仿宋" w:eastAsia="仿宋" w:cs="仿宋"/>
        </w:rPr>
        <w:t>宏观模型政府管理的市场</w:t>
      </w:r>
      <w:r>
        <w:rPr>
          <w:rFonts w:hint="eastAsia" w:ascii="仿宋" w:hAnsi="仿宋" w:eastAsia="仿宋" w:cs="仿宋"/>
          <w:lang w:val="en-US" w:eastAsia="zh-CN"/>
        </w:rPr>
        <w:t>经济</w:t>
      </w:r>
      <w:r>
        <w:rPr>
          <w:rFonts w:ascii="仿宋" w:hAnsi="仿宋" w:eastAsia="仿宋" w:cs="仿宋"/>
        </w:rPr>
        <w:t>可免于金融危机、</w:t>
      </w:r>
      <w:r>
        <w:rPr>
          <w:rFonts w:hint="eastAsia" w:ascii="仿宋" w:hAnsi="仿宋" w:eastAsia="仿宋" w:cs="仿宋"/>
        </w:rPr>
        <w:t>可</w:t>
      </w:r>
      <w:r>
        <w:rPr>
          <w:rFonts w:ascii="仿宋" w:hAnsi="仿宋" w:eastAsia="仿宋" w:cs="仿宋"/>
        </w:rPr>
        <w:t>最大程度平滑经济波动和最大程度挖掘经济增长潜力</w:t>
      </w:r>
      <w:r>
        <w:rPr>
          <w:rFonts w:hint="eastAsia" w:ascii="仿宋" w:hAnsi="仿宋" w:eastAsia="仿宋" w:cs="仿宋"/>
          <w:lang w:eastAsia="zh-CN"/>
        </w:rPr>
        <w:t>，</w:t>
      </w:r>
      <w:r>
        <w:rPr>
          <w:rFonts w:hint="eastAsia" w:ascii="仿宋" w:hAnsi="仿宋" w:eastAsia="仿宋" w:cs="仿宋"/>
          <w:lang w:val="en-US" w:eastAsia="zh-CN"/>
        </w:rPr>
        <w:t>但政府政策受</w:t>
      </w:r>
      <w:r>
        <w:rPr>
          <w:rFonts w:hint="eastAsia" w:ascii="仿宋" w:hAnsi="仿宋" w:eastAsia="仿宋" w:cs="仿宋"/>
        </w:rPr>
        <w:t>通货膨胀约束，</w:t>
      </w:r>
      <w:r>
        <w:rPr>
          <w:rFonts w:hint="eastAsia" w:ascii="仿宋" w:hAnsi="仿宋" w:eastAsia="仿宋" w:cs="仿宋"/>
          <w:lang w:val="en-US" w:eastAsia="zh-CN"/>
        </w:rPr>
        <w:t>而</w:t>
      </w:r>
      <w:r>
        <w:rPr>
          <w:rFonts w:ascii="仿宋" w:hAnsi="仿宋" w:eastAsia="仿宋" w:cs="仿宋"/>
        </w:rPr>
        <w:t>管理私人部门资本跨境流动是模型成立的前提。对中国过去四十多年来在经济和科研方面取得的显著成就及若干其它重要经济现实和理论问题，本文模型给出</w:t>
      </w:r>
      <w:r>
        <w:rPr>
          <w:rFonts w:hint="eastAsia" w:ascii="仿宋" w:hAnsi="仿宋" w:eastAsia="仿宋" w:cs="仿宋"/>
        </w:rPr>
        <w:t>了</w:t>
      </w:r>
      <w:r>
        <w:rPr>
          <w:rFonts w:hint="eastAsia" w:ascii="仿宋" w:hAnsi="仿宋" w:eastAsia="仿宋" w:cs="仿宋"/>
          <w:lang w:val="en-US" w:eastAsia="zh-CN"/>
        </w:rPr>
        <w:t>定性</w:t>
      </w:r>
      <w:r>
        <w:rPr>
          <w:rFonts w:hint="eastAsia" w:ascii="仿宋" w:hAnsi="仿宋" w:eastAsia="仿宋" w:cs="仿宋"/>
        </w:rPr>
        <w:t>解释。</w:t>
      </w:r>
    </w:p>
    <w:p>
      <w:pPr>
        <w:ind w:firstLine="422"/>
        <w:rPr>
          <w:rFonts w:ascii="仿宋" w:hAnsi="仿宋" w:eastAsia="仿宋"/>
        </w:rPr>
      </w:pPr>
      <w:r>
        <w:rPr>
          <w:rFonts w:hint="eastAsia" w:ascii="仿宋" w:hAnsi="仿宋" w:eastAsia="仿宋"/>
          <w:b/>
          <w:bCs/>
        </w:rPr>
        <w:t>关键词</w:t>
      </w:r>
      <w:r>
        <w:rPr>
          <w:rFonts w:ascii="仿宋" w:hAnsi="仿宋" w:eastAsia="仿宋"/>
          <w:b/>
          <w:bCs/>
        </w:rPr>
        <w:t>：</w:t>
      </w:r>
      <w:r>
        <w:rPr>
          <w:rFonts w:hint="eastAsia" w:ascii="仿宋" w:hAnsi="仿宋" w:eastAsia="仿宋"/>
        </w:rPr>
        <w:t>社会</w:t>
      </w:r>
      <w:r>
        <w:rPr>
          <w:rFonts w:hint="eastAsia" w:ascii="仿宋" w:hAnsi="仿宋" w:eastAsia="仿宋"/>
          <w:lang w:val="en-US" w:eastAsia="zh-CN"/>
        </w:rPr>
        <w:t>主义；马克思主义；</w:t>
      </w:r>
      <w:r>
        <w:rPr>
          <w:rFonts w:hint="eastAsia" w:ascii="仿宋" w:hAnsi="仿宋" w:eastAsia="仿宋"/>
        </w:rPr>
        <w:t>政府管理</w:t>
      </w:r>
      <w:r>
        <w:rPr>
          <w:rFonts w:hint="eastAsia" w:ascii="仿宋" w:hAnsi="仿宋" w:eastAsia="仿宋"/>
          <w:lang w:eastAsia="zh-CN"/>
        </w:rPr>
        <w:t>；</w:t>
      </w:r>
      <w:r>
        <w:rPr>
          <w:rFonts w:hint="eastAsia" w:ascii="仿宋" w:hAnsi="仿宋" w:eastAsia="仿宋"/>
        </w:rPr>
        <w:t>数学模型</w:t>
      </w:r>
      <w:r>
        <w:rPr>
          <w:rFonts w:hint="eastAsia" w:ascii="仿宋" w:hAnsi="仿宋" w:eastAsia="仿宋"/>
          <w:lang w:eastAsia="zh-CN"/>
        </w:rPr>
        <w:t>；</w:t>
      </w:r>
      <w:r>
        <w:rPr>
          <w:rFonts w:hint="eastAsia" w:ascii="仿宋" w:hAnsi="仿宋" w:eastAsia="仿宋"/>
        </w:rPr>
        <w:t>经济体禀赋</w:t>
      </w:r>
      <w:r>
        <w:rPr>
          <w:rFonts w:hint="eastAsia" w:ascii="仿宋" w:hAnsi="仿宋" w:eastAsia="仿宋"/>
          <w:lang w:eastAsia="zh-CN"/>
        </w:rPr>
        <w:t>；</w:t>
      </w:r>
      <w:r>
        <w:rPr>
          <w:rFonts w:hint="eastAsia" w:ascii="仿宋" w:hAnsi="仿宋" w:eastAsia="仿宋"/>
        </w:rPr>
        <w:t>跨境资本流动。</w:t>
      </w:r>
    </w:p>
    <w:p>
      <w:pPr>
        <w:ind w:firstLine="422"/>
        <w:rPr>
          <w:rFonts w:ascii="仿宋" w:hAnsi="仿宋" w:eastAsia="仿宋"/>
        </w:rPr>
      </w:pPr>
    </w:p>
    <w:p>
      <w:pPr>
        <w:ind w:firstLine="422"/>
        <w:rPr>
          <w:rFonts w:hint="eastAsia" w:asciiTheme="minorEastAsia" w:hAnsiTheme="minorEastAsia" w:eastAsiaTheme="minorEastAsia" w:cstheme="minorEastAsia"/>
          <w:szCs w:val="21"/>
        </w:rPr>
      </w:pPr>
    </w:p>
    <w:p>
      <w:pPr>
        <w:ind w:firstLine="560"/>
      </w:pPr>
      <w:r>
        <w:rPr>
          <w:rFonts w:hint="eastAsia" w:cs="宋体"/>
          <w:color w:val="000000"/>
          <w:kern w:val="0"/>
          <w:sz w:val="28"/>
          <w:szCs w:val="28"/>
        </w:rPr>
        <w:t xml:space="preserve"> </w:t>
      </w:r>
      <w:r>
        <w:br w:type="page"/>
      </w:r>
    </w:p>
    <w:bookmarkEnd w:id="0"/>
    <w:p>
      <w:pPr>
        <w:ind w:firstLine="422"/>
        <w:rPr>
          <w:rFonts w:hint="eastAsia" w:asciiTheme="minorEastAsia" w:hAnsiTheme="minorEastAsia" w:eastAsiaTheme="minorEastAsia" w:cstheme="minorEastAsia"/>
          <w:szCs w:val="21"/>
          <w:lang w:val="en-US" w:eastAsia="zh-CN"/>
        </w:rPr>
      </w:pPr>
      <w:bookmarkStart w:id="2" w:name="_Hlk125114494"/>
      <w:r>
        <w:rPr>
          <w:rFonts w:hint="eastAsia" w:asciiTheme="minorEastAsia" w:hAnsiTheme="minorEastAsia" w:eastAsiaTheme="minorEastAsia" w:cstheme="minorEastAsia"/>
          <w:b/>
          <w:bCs/>
          <w:szCs w:val="21"/>
          <w:lang w:val="en-US" w:eastAsia="zh-CN"/>
        </w:rPr>
        <w:t>马克思主义</w:t>
      </w:r>
      <w:r>
        <w:rPr>
          <w:rFonts w:hint="eastAsia" w:ascii="微软雅黑" w:hAnsi="微软雅黑" w:eastAsia="微软雅黑" w:cs="微软雅黑"/>
          <w:b/>
          <w:bCs/>
          <w:szCs w:val="21"/>
          <w:lang w:val="en-US" w:eastAsia="zh-CN"/>
        </w:rPr>
        <w:t>、</w:t>
      </w:r>
      <w:r>
        <w:rPr>
          <w:rFonts w:hint="eastAsia" w:asciiTheme="minorEastAsia" w:hAnsiTheme="minorEastAsia" w:eastAsiaTheme="minorEastAsia" w:cstheme="minorEastAsia"/>
          <w:b/>
          <w:bCs/>
          <w:szCs w:val="21"/>
          <w:lang w:val="en-US" w:eastAsia="zh-CN"/>
        </w:rPr>
        <w:t>习近平总书记及中共几代领导人关于社会主义</w:t>
      </w:r>
      <w:r>
        <w:rPr>
          <w:rFonts w:hint="default" w:asciiTheme="minorEastAsia" w:hAnsiTheme="minorEastAsia" w:eastAsiaTheme="minorEastAsia" w:cstheme="minorEastAsia"/>
          <w:b/>
          <w:bCs/>
          <w:szCs w:val="21"/>
          <w:lang w:eastAsia="zh-CN"/>
        </w:rPr>
        <w:t>市场</w:t>
      </w:r>
      <w:r>
        <w:rPr>
          <w:rFonts w:hint="eastAsia" w:asciiTheme="minorEastAsia" w:hAnsiTheme="minorEastAsia" w:eastAsiaTheme="minorEastAsia" w:cstheme="minorEastAsia"/>
          <w:b/>
          <w:bCs/>
          <w:szCs w:val="21"/>
          <w:lang w:val="en-US" w:eastAsia="zh-CN"/>
        </w:rPr>
        <w:t>经济的论述</w:t>
      </w:r>
      <w:r>
        <w:rPr>
          <w:rFonts w:hint="eastAsia" w:asciiTheme="minorEastAsia" w:hAnsiTheme="minorEastAsia" w:eastAsiaTheme="minorEastAsia" w:cstheme="minorEastAsia"/>
          <w:szCs w:val="21"/>
          <w:lang w:val="en-US" w:eastAsia="zh-CN"/>
        </w:rPr>
        <w:t>：马克思主义和习近平总书记及中共几代领导人关于社会主义市场经济的论述是伟大的哲学思想，是辩证唯物主义和历史唯物主义，主张党的领导</w:t>
      </w:r>
      <w:r>
        <w:rPr>
          <w:rFonts w:hint="eastAsia" w:ascii="微软雅黑" w:hAnsi="微软雅黑" w:eastAsia="微软雅黑" w:cs="微软雅黑"/>
          <w:szCs w:val="21"/>
          <w:lang w:val="en-US" w:eastAsia="zh-CN"/>
        </w:rPr>
        <w:t>、</w:t>
      </w:r>
      <w:r>
        <w:rPr>
          <w:rFonts w:hint="eastAsia" w:asciiTheme="minorEastAsia" w:hAnsiTheme="minorEastAsia" w:eastAsiaTheme="minorEastAsia" w:cstheme="minorEastAsia"/>
          <w:szCs w:val="21"/>
          <w:lang w:val="en-US" w:eastAsia="zh-CN"/>
        </w:rPr>
        <w:t>人民经济和共同富裕。本文尝试把马克思主义和习近平及中共几代领导人关于社会主义市场经济的论述形式逻辑化，即数学模型化，从数学模型的视角指出具体的政府政策措施和政府政策边界。</w:t>
      </w:r>
    </w:p>
    <w:p>
      <w:pPr>
        <w:ind w:firstLine="422"/>
        <w:rPr>
          <w:rFonts w:hint="eastAsia" w:asciiTheme="minorEastAsia" w:hAnsiTheme="minorEastAsia" w:eastAsiaTheme="minorEastAsia" w:cstheme="minorEastAsia"/>
          <w:szCs w:val="21"/>
          <w:lang w:val="en-US" w:eastAsia="zh-CN"/>
        </w:rPr>
      </w:pPr>
      <w:r>
        <w:rPr>
          <w:rFonts w:hint="default" w:asciiTheme="minorEastAsia" w:hAnsiTheme="minorEastAsia" w:eastAsiaTheme="minorEastAsia" w:cstheme="minorEastAsia"/>
          <w:b/>
          <w:bCs/>
          <w:szCs w:val="21"/>
          <w:lang w:eastAsia="zh-CN"/>
        </w:rPr>
        <w:t>西方市场主流经济理论</w:t>
      </w:r>
      <w:r>
        <w:rPr>
          <w:rFonts w:hint="eastAsia" w:asciiTheme="minorEastAsia" w:hAnsiTheme="minorEastAsia" w:eastAsiaTheme="minorEastAsia" w:cstheme="minorEastAsia"/>
          <w:b/>
          <w:bCs/>
          <w:szCs w:val="21"/>
          <w:lang w:val="en-US" w:eastAsia="zh-CN"/>
        </w:rPr>
        <w:t>新古典</w:t>
      </w:r>
      <w:r>
        <w:rPr>
          <w:rFonts w:hint="default" w:asciiTheme="minorEastAsia" w:hAnsiTheme="minorEastAsia" w:eastAsiaTheme="minorEastAsia" w:cstheme="minorEastAsia"/>
          <w:b/>
          <w:bCs/>
          <w:szCs w:val="21"/>
          <w:lang w:eastAsia="zh-CN"/>
        </w:rPr>
        <w:t>学派</w:t>
      </w:r>
      <w:r>
        <w:rPr>
          <w:rFonts w:hint="eastAsia" w:asciiTheme="minorEastAsia" w:hAnsiTheme="minorEastAsia" w:eastAsiaTheme="minorEastAsia" w:cstheme="minorEastAsia"/>
          <w:b/>
          <w:bCs/>
          <w:szCs w:val="21"/>
          <w:lang w:val="en-US" w:eastAsia="zh-CN"/>
        </w:rPr>
        <w:t>和凯恩斯</w:t>
      </w:r>
      <w:r>
        <w:rPr>
          <w:rFonts w:hint="default" w:asciiTheme="minorEastAsia" w:hAnsiTheme="minorEastAsia" w:eastAsiaTheme="minorEastAsia" w:cstheme="minorEastAsia"/>
          <w:b/>
          <w:bCs/>
          <w:szCs w:val="21"/>
          <w:lang w:eastAsia="zh-CN"/>
        </w:rPr>
        <w:t>学派</w:t>
      </w:r>
      <w:r>
        <w:rPr>
          <w:rFonts w:hint="eastAsia" w:asciiTheme="minorEastAsia" w:hAnsiTheme="minorEastAsia" w:eastAsiaTheme="minorEastAsia" w:cstheme="minorEastAsia"/>
          <w:b/>
          <w:bCs/>
          <w:szCs w:val="21"/>
          <w:lang w:val="en-US" w:eastAsia="zh-CN"/>
        </w:rPr>
        <w:t>：</w:t>
      </w:r>
      <w:r>
        <w:rPr>
          <w:rFonts w:hint="eastAsia" w:asciiTheme="minorEastAsia" w:hAnsiTheme="minorEastAsia" w:eastAsiaTheme="minorEastAsia" w:cstheme="minorEastAsia"/>
          <w:szCs w:val="21"/>
          <w:lang w:val="en-US" w:eastAsia="zh-CN"/>
        </w:rPr>
        <w:t>本文全面深入分析了</w:t>
      </w:r>
      <w:r>
        <w:rPr>
          <w:rFonts w:hint="default" w:asciiTheme="minorEastAsia" w:hAnsiTheme="minorEastAsia" w:eastAsiaTheme="minorEastAsia" w:cstheme="minorEastAsia"/>
          <w:szCs w:val="21"/>
          <w:lang w:eastAsia="zh-CN"/>
        </w:rPr>
        <w:t>西方主流市场经济理论</w:t>
      </w:r>
      <w:r>
        <w:rPr>
          <w:rFonts w:hint="eastAsia" w:asciiTheme="minorEastAsia" w:hAnsiTheme="minorEastAsia" w:eastAsiaTheme="minorEastAsia" w:cstheme="minorEastAsia"/>
          <w:szCs w:val="21"/>
          <w:lang w:val="en-US" w:eastAsia="zh-CN"/>
        </w:rPr>
        <w:t>新古典</w:t>
      </w:r>
      <w:r>
        <w:rPr>
          <w:rFonts w:hint="default" w:asciiTheme="minorEastAsia" w:hAnsiTheme="minorEastAsia" w:eastAsiaTheme="minorEastAsia" w:cstheme="minorEastAsia"/>
          <w:szCs w:val="21"/>
          <w:lang w:eastAsia="zh-CN"/>
        </w:rPr>
        <w:t>学派</w:t>
      </w:r>
      <w:r>
        <w:rPr>
          <w:rFonts w:hint="eastAsia" w:asciiTheme="minorEastAsia" w:hAnsiTheme="minorEastAsia" w:eastAsiaTheme="minorEastAsia" w:cstheme="minorEastAsia"/>
          <w:szCs w:val="21"/>
          <w:lang w:val="en-US" w:eastAsia="zh-CN"/>
        </w:rPr>
        <w:t>和凯恩斯</w:t>
      </w:r>
      <w:r>
        <w:rPr>
          <w:rFonts w:hint="default" w:asciiTheme="minorEastAsia" w:hAnsiTheme="minorEastAsia" w:eastAsiaTheme="minorEastAsia" w:cstheme="minorEastAsia"/>
          <w:szCs w:val="21"/>
          <w:lang w:eastAsia="zh-CN"/>
        </w:rPr>
        <w:t>学派</w:t>
      </w:r>
      <w:r>
        <w:rPr>
          <w:rFonts w:hint="eastAsia" w:asciiTheme="minorEastAsia" w:hAnsiTheme="minorEastAsia" w:eastAsiaTheme="minorEastAsia" w:cstheme="minorEastAsia"/>
          <w:szCs w:val="21"/>
          <w:lang w:val="en-US" w:eastAsia="zh-CN"/>
        </w:rPr>
        <w:t>的形式逻辑体系</w:t>
      </w:r>
      <w:r>
        <w:rPr>
          <w:rFonts w:hint="default" w:asciiTheme="minorEastAsia" w:hAnsiTheme="minorEastAsia" w:eastAsiaTheme="minorEastAsia" w:cstheme="minorEastAsia"/>
          <w:szCs w:val="21"/>
          <w:lang w:eastAsia="zh-CN"/>
        </w:rPr>
        <w:t>即数学模型</w:t>
      </w:r>
      <w:r>
        <w:rPr>
          <w:rFonts w:hint="eastAsia" w:asciiTheme="minorEastAsia" w:hAnsiTheme="minorEastAsia" w:eastAsiaTheme="minorEastAsia" w:cstheme="minorEastAsia"/>
          <w:szCs w:val="21"/>
          <w:lang w:val="en-US" w:eastAsia="zh-CN"/>
        </w:rPr>
        <w:t>，</w:t>
      </w:r>
      <w:r>
        <w:rPr>
          <w:rFonts w:hint="default" w:asciiTheme="minorEastAsia" w:hAnsiTheme="minorEastAsia" w:eastAsiaTheme="minorEastAsia" w:cstheme="minorEastAsia"/>
          <w:szCs w:val="21"/>
          <w:lang w:eastAsia="zh-CN"/>
        </w:rPr>
        <w:t>比较全面</w:t>
      </w:r>
      <w:r>
        <w:rPr>
          <w:rFonts w:hint="eastAsia" w:asciiTheme="minorEastAsia" w:hAnsiTheme="minorEastAsia" w:eastAsiaTheme="minorEastAsia" w:cstheme="minorEastAsia"/>
          <w:szCs w:val="21"/>
          <w:lang w:val="en-US" w:eastAsia="zh-CN"/>
        </w:rPr>
        <w:t>细致地指出了其逻辑缺陷，改进了其逻辑不足。</w:t>
      </w:r>
    </w:p>
    <w:p>
      <w:pPr>
        <w:ind w:firstLine="422"/>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b/>
          <w:bCs/>
          <w:szCs w:val="21"/>
          <w:lang w:val="en-US" w:eastAsia="zh-CN"/>
        </w:rPr>
        <w:t>百年未有之大变局：</w:t>
      </w:r>
      <w:r>
        <w:rPr>
          <w:rFonts w:hint="eastAsia" w:asciiTheme="minorEastAsia" w:hAnsiTheme="minorEastAsia" w:eastAsiaTheme="minorEastAsia" w:cstheme="minorEastAsia"/>
          <w:szCs w:val="21"/>
          <w:lang w:val="en-US" w:eastAsia="zh-CN"/>
        </w:rPr>
        <w:t>当前国际关系变得愈发紧张，最重要的原因是中国社会主义市场经济制度比西方资本主义市场经济制度优越，中国将打破美国对国际秩序的垄断</w:t>
      </w:r>
      <w:r>
        <w:rPr>
          <w:rFonts w:hint="default" w:asciiTheme="minorEastAsia" w:hAnsiTheme="minorEastAsia" w:eastAsiaTheme="minorEastAsia" w:cstheme="minorEastAsia"/>
          <w:szCs w:val="21"/>
          <w:lang w:eastAsia="zh-CN"/>
        </w:rPr>
        <w:t>成</w:t>
      </w:r>
      <w:r>
        <w:rPr>
          <w:rFonts w:hint="eastAsia" w:asciiTheme="minorEastAsia" w:hAnsiTheme="minorEastAsia" w:eastAsiaTheme="minorEastAsia" w:cstheme="minorEastAsia"/>
          <w:szCs w:val="21"/>
          <w:lang w:val="en-US" w:eastAsia="zh-CN"/>
        </w:rPr>
        <w:t>为</w:t>
      </w:r>
      <w:r>
        <w:rPr>
          <w:rFonts w:hint="default" w:asciiTheme="minorEastAsia" w:hAnsiTheme="minorEastAsia" w:eastAsiaTheme="minorEastAsia" w:cstheme="minorEastAsia"/>
          <w:szCs w:val="21"/>
          <w:lang w:eastAsia="zh-CN"/>
        </w:rPr>
        <w:t>主导国际秩序的最重要国家之一</w:t>
      </w:r>
      <w:r>
        <w:rPr>
          <w:rFonts w:hint="eastAsia" w:asciiTheme="minorEastAsia" w:hAnsiTheme="minorEastAsia" w:eastAsiaTheme="minorEastAsia" w:cstheme="minorEastAsia"/>
          <w:szCs w:val="21"/>
          <w:lang w:val="en-US" w:eastAsia="zh-CN"/>
        </w:rPr>
        <w:t>。要阐述社会主义市场经济的优越性，就要从市场经济的基础逻辑入手，从商品交换，商品生产和商品消费的基础逻辑入手，本文在这方面进行了探索。</w:t>
      </w:r>
    </w:p>
    <w:p>
      <w:pPr>
        <w:ind w:firstLine="422"/>
        <w:rPr>
          <w:rFonts w:hint="eastAsia" w:asciiTheme="minorEastAsia" w:hAnsiTheme="minorEastAsia" w:eastAsiaTheme="minorEastAsia" w:cstheme="minorEastAsia"/>
          <w:szCs w:val="21"/>
          <w:lang w:val="en-US" w:eastAsia="zh-CN"/>
        </w:rPr>
      </w:pPr>
    </w:p>
    <w:p>
      <w:pPr>
        <w:ind w:firstLine="0" w:firstLineChars="0"/>
        <w:rPr>
          <w:rFonts w:cs="宋体"/>
          <w:color w:val="000000"/>
          <w:kern w:val="0"/>
          <w:szCs w:val="21"/>
        </w:rPr>
      </w:pPr>
    </w:p>
    <w:p>
      <w:pPr>
        <w:pStyle w:val="16"/>
        <w:ind w:firstLine="1609" w:firstLineChars="503"/>
        <w:jc w:val="both"/>
      </w:pPr>
      <w:r>
        <w:rPr>
          <w:rFonts w:hint="eastAsia"/>
        </w:rPr>
        <w:t>社会主义市场经济理论</w:t>
      </w:r>
      <w:r>
        <w:rPr>
          <w:rFonts w:hint="eastAsia"/>
          <w:lang w:val="en-US" w:eastAsia="zh-CN"/>
        </w:rPr>
        <w:t>基础</w:t>
      </w:r>
      <w:r>
        <w:rPr>
          <w:rFonts w:hint="eastAsia"/>
        </w:rPr>
        <w:t>数学模型</w:t>
      </w:r>
    </w:p>
    <w:p>
      <w:pPr>
        <w:ind w:firstLine="0" w:firstLineChars="0"/>
      </w:pPr>
    </w:p>
    <w:p>
      <w:pPr>
        <w:ind w:firstLine="0" w:firstLineChars="0"/>
      </w:pPr>
    </w:p>
    <w:p>
      <w:pPr>
        <w:ind w:firstLine="0" w:firstLineChars="0"/>
      </w:pPr>
    </w:p>
    <w:p>
      <w:pPr>
        <w:ind w:firstLine="422"/>
        <w:rPr>
          <w:rFonts w:ascii="仿宋" w:hAnsi="仿宋" w:eastAsia="仿宋"/>
        </w:rPr>
      </w:pPr>
      <w:bookmarkStart w:id="3" w:name="_Hlk125114713"/>
      <w:r>
        <w:rPr>
          <w:rFonts w:hint="eastAsia" w:ascii="仿宋" w:hAnsi="仿宋" w:eastAsia="仿宋"/>
          <w:b/>
          <w:bCs/>
        </w:rPr>
        <w:t>摘要：</w:t>
      </w:r>
      <w:r>
        <w:rPr>
          <w:rFonts w:ascii="仿宋" w:hAnsi="仿宋" w:eastAsia="仿宋" w:cs="仿宋"/>
        </w:rPr>
        <w:t>本文</w:t>
      </w:r>
      <w:r>
        <w:rPr>
          <w:rFonts w:hint="eastAsia" w:ascii="仿宋" w:hAnsi="仿宋" w:eastAsia="仿宋" w:cs="仿宋"/>
        </w:rPr>
        <w:t>以马克思《资本论》和习近平总书记等几代中共领导人关于社会主义市场经济的论述为经济思想基础</w:t>
      </w:r>
      <w:r>
        <w:rPr>
          <w:rFonts w:ascii="仿宋" w:hAnsi="仿宋" w:eastAsia="仿宋" w:cs="仿宋"/>
        </w:rPr>
        <w:t>，综合吸收新古典学派和凯恩斯学派的研究成果，提出</w:t>
      </w:r>
      <w:r>
        <w:rPr>
          <w:rFonts w:hint="eastAsia" w:ascii="仿宋" w:hAnsi="仿宋" w:eastAsia="仿宋" w:cs="仿宋"/>
        </w:rPr>
        <w:t>社会主义市场经济理论</w:t>
      </w:r>
      <w:r>
        <w:rPr>
          <w:rFonts w:hint="eastAsia" w:ascii="仿宋" w:hAnsi="仿宋" w:eastAsia="仿宋" w:cs="仿宋"/>
          <w:lang w:val="en-US" w:eastAsia="zh-CN"/>
        </w:rPr>
        <w:t>基础</w:t>
      </w:r>
      <w:r>
        <w:rPr>
          <w:rFonts w:hint="eastAsia" w:ascii="仿宋" w:hAnsi="仿宋" w:eastAsia="仿宋" w:cs="仿宋"/>
        </w:rPr>
        <w:t>数学模型，包括微观模型和</w:t>
      </w:r>
      <w:r>
        <w:rPr>
          <w:rFonts w:hint="eastAsia" w:ascii="仿宋" w:hAnsi="仿宋" w:eastAsia="仿宋" w:cs="仿宋"/>
          <w:lang w:val="en-US" w:eastAsia="zh-CN"/>
        </w:rPr>
        <w:t>宏观</w:t>
      </w:r>
      <w:r>
        <w:rPr>
          <w:rFonts w:hint="eastAsia" w:ascii="仿宋" w:hAnsi="仿宋" w:eastAsia="仿宋" w:cs="仿宋"/>
        </w:rPr>
        <w:t>模型。本文</w:t>
      </w:r>
      <w:r>
        <w:rPr>
          <w:rFonts w:hint="default" w:ascii="仿宋" w:hAnsi="仿宋" w:eastAsia="仿宋" w:cs="仿宋"/>
        </w:rPr>
        <w:t>微观模型</w:t>
      </w:r>
      <w:r>
        <w:rPr>
          <w:rFonts w:hint="eastAsia" w:ascii="仿宋" w:hAnsi="仿宋" w:eastAsia="仿宋" w:cs="仿宋"/>
        </w:rPr>
        <w:t>关于市场经济的</w:t>
      </w:r>
      <w:r>
        <w:rPr>
          <w:rFonts w:hint="default" w:ascii="仿宋" w:hAnsi="仿宋" w:eastAsia="仿宋" w:cs="仿宋"/>
        </w:rPr>
        <w:t>三个互相独立的</w:t>
      </w:r>
      <w:r>
        <w:rPr>
          <w:rFonts w:hint="eastAsia" w:ascii="仿宋" w:hAnsi="仿宋" w:eastAsia="仿宋" w:cs="仿宋"/>
        </w:rPr>
        <w:t>基本规律假设</w:t>
      </w:r>
      <w:r>
        <w:rPr>
          <w:rFonts w:hint="default" w:ascii="仿宋" w:hAnsi="仿宋" w:eastAsia="仿宋" w:cs="仿宋"/>
        </w:rPr>
        <w:t>是对新古典微观模型阿罗</w:t>
      </w:r>
      <w:r>
        <w:rPr>
          <w:rFonts w:hint="eastAsia" w:ascii="仿宋" w:hAnsi="仿宋" w:eastAsia="仿宋" w:cs="仿宋"/>
          <w:lang w:val="en-US" w:eastAsia="zh-CN"/>
        </w:rPr>
        <w:t>-</w:t>
      </w:r>
      <w:r>
        <w:rPr>
          <w:rFonts w:hint="default" w:ascii="仿宋" w:hAnsi="仿宋" w:eastAsia="仿宋" w:cs="仿宋"/>
        </w:rPr>
        <w:t>德布鲁一般均衡模型的改进。本文</w:t>
      </w:r>
      <w:r>
        <w:rPr>
          <w:rFonts w:hint="eastAsia" w:ascii="仿宋" w:hAnsi="仿宋" w:eastAsia="仿宋" w:cs="仿宋"/>
        </w:rPr>
        <w:t>宏观模型政府管理的市场</w:t>
      </w:r>
      <w:r>
        <w:rPr>
          <w:rFonts w:hint="eastAsia" w:ascii="仿宋" w:hAnsi="仿宋" w:eastAsia="仿宋" w:cs="仿宋"/>
          <w:lang w:val="en-US" w:eastAsia="zh-CN"/>
        </w:rPr>
        <w:t>经济</w:t>
      </w:r>
      <w:r>
        <w:rPr>
          <w:rFonts w:ascii="仿宋" w:hAnsi="仿宋" w:eastAsia="仿宋" w:cs="仿宋"/>
        </w:rPr>
        <w:t>可免于金融危机、</w:t>
      </w:r>
      <w:r>
        <w:rPr>
          <w:rFonts w:hint="eastAsia" w:ascii="仿宋" w:hAnsi="仿宋" w:eastAsia="仿宋" w:cs="仿宋"/>
        </w:rPr>
        <w:t>可</w:t>
      </w:r>
      <w:r>
        <w:rPr>
          <w:rFonts w:ascii="仿宋" w:hAnsi="仿宋" w:eastAsia="仿宋" w:cs="仿宋"/>
        </w:rPr>
        <w:t>最大程度平滑经济波动和最大程度挖掘经济增长潜力</w:t>
      </w:r>
      <w:r>
        <w:rPr>
          <w:rFonts w:hint="eastAsia" w:ascii="仿宋" w:hAnsi="仿宋" w:eastAsia="仿宋" w:cs="仿宋"/>
          <w:lang w:eastAsia="zh-CN"/>
        </w:rPr>
        <w:t>，</w:t>
      </w:r>
      <w:r>
        <w:rPr>
          <w:rFonts w:hint="eastAsia" w:ascii="仿宋" w:hAnsi="仿宋" w:eastAsia="仿宋" w:cs="仿宋"/>
          <w:lang w:val="en-US" w:eastAsia="zh-CN"/>
        </w:rPr>
        <w:t>但政府政策受</w:t>
      </w:r>
      <w:r>
        <w:rPr>
          <w:rFonts w:hint="eastAsia" w:ascii="仿宋" w:hAnsi="仿宋" w:eastAsia="仿宋" w:cs="仿宋"/>
        </w:rPr>
        <w:t>通货膨胀约束，</w:t>
      </w:r>
      <w:r>
        <w:rPr>
          <w:rFonts w:hint="eastAsia" w:ascii="仿宋" w:hAnsi="仿宋" w:eastAsia="仿宋" w:cs="仿宋"/>
          <w:lang w:val="en-US" w:eastAsia="zh-CN"/>
        </w:rPr>
        <w:t>而</w:t>
      </w:r>
      <w:r>
        <w:rPr>
          <w:rFonts w:ascii="仿宋" w:hAnsi="仿宋" w:eastAsia="仿宋" w:cs="仿宋"/>
        </w:rPr>
        <w:t>管理私人部门资本跨境流动是模型成立的前提。对中国过去四十多年来在经济和科研方面取得的显著成就及若干其它重要经济现实和理论问题，本文模型给出</w:t>
      </w:r>
      <w:r>
        <w:rPr>
          <w:rFonts w:hint="eastAsia" w:ascii="仿宋" w:hAnsi="仿宋" w:eastAsia="仿宋" w:cs="仿宋"/>
        </w:rPr>
        <w:t>了</w:t>
      </w:r>
      <w:r>
        <w:rPr>
          <w:rFonts w:hint="eastAsia" w:ascii="仿宋" w:hAnsi="仿宋" w:eastAsia="仿宋" w:cs="仿宋"/>
          <w:lang w:val="en-US" w:eastAsia="zh-CN"/>
        </w:rPr>
        <w:t>定性</w:t>
      </w:r>
      <w:r>
        <w:rPr>
          <w:rFonts w:hint="eastAsia" w:ascii="仿宋" w:hAnsi="仿宋" w:eastAsia="仿宋" w:cs="仿宋"/>
        </w:rPr>
        <w:t>解释。</w:t>
      </w:r>
    </w:p>
    <w:p>
      <w:pPr>
        <w:ind w:firstLine="422"/>
        <w:rPr>
          <w:rFonts w:ascii="仿宋" w:hAnsi="仿宋" w:eastAsia="仿宋"/>
        </w:rPr>
      </w:pPr>
      <w:r>
        <w:rPr>
          <w:rFonts w:hint="eastAsia" w:ascii="仿宋" w:hAnsi="仿宋" w:eastAsia="仿宋"/>
          <w:b/>
          <w:bCs/>
        </w:rPr>
        <w:t>关键词</w:t>
      </w:r>
      <w:r>
        <w:rPr>
          <w:rFonts w:ascii="仿宋" w:hAnsi="仿宋" w:eastAsia="仿宋"/>
          <w:b/>
          <w:bCs/>
        </w:rPr>
        <w:t>：</w:t>
      </w:r>
      <w:r>
        <w:rPr>
          <w:rFonts w:hint="eastAsia" w:ascii="仿宋" w:hAnsi="仿宋" w:eastAsia="仿宋"/>
        </w:rPr>
        <w:t>社会</w:t>
      </w:r>
      <w:r>
        <w:rPr>
          <w:rFonts w:hint="eastAsia" w:ascii="仿宋" w:hAnsi="仿宋" w:eastAsia="仿宋"/>
          <w:lang w:val="en-US" w:eastAsia="zh-CN"/>
        </w:rPr>
        <w:t>主义；马克思主义；</w:t>
      </w:r>
      <w:r>
        <w:rPr>
          <w:rFonts w:hint="eastAsia" w:ascii="仿宋" w:hAnsi="仿宋" w:eastAsia="仿宋"/>
        </w:rPr>
        <w:t>政府管理</w:t>
      </w:r>
      <w:r>
        <w:rPr>
          <w:rFonts w:hint="eastAsia" w:ascii="仿宋" w:hAnsi="仿宋" w:eastAsia="仿宋"/>
          <w:lang w:eastAsia="zh-CN"/>
        </w:rPr>
        <w:t>；</w:t>
      </w:r>
      <w:r>
        <w:rPr>
          <w:rFonts w:hint="eastAsia" w:ascii="仿宋" w:hAnsi="仿宋" w:eastAsia="仿宋"/>
        </w:rPr>
        <w:t>数学模型</w:t>
      </w:r>
      <w:r>
        <w:rPr>
          <w:rFonts w:hint="eastAsia" w:ascii="仿宋" w:hAnsi="仿宋" w:eastAsia="仿宋"/>
          <w:lang w:eastAsia="zh-CN"/>
        </w:rPr>
        <w:t>；</w:t>
      </w:r>
      <w:r>
        <w:rPr>
          <w:rFonts w:hint="eastAsia" w:ascii="仿宋" w:hAnsi="仿宋" w:eastAsia="仿宋"/>
        </w:rPr>
        <w:t>经济体禀赋</w:t>
      </w:r>
      <w:r>
        <w:rPr>
          <w:rFonts w:hint="eastAsia" w:ascii="仿宋" w:hAnsi="仿宋" w:eastAsia="仿宋"/>
          <w:lang w:eastAsia="zh-CN"/>
        </w:rPr>
        <w:t>；</w:t>
      </w:r>
      <w:r>
        <w:rPr>
          <w:rFonts w:hint="eastAsia" w:ascii="仿宋" w:hAnsi="仿宋" w:eastAsia="仿宋"/>
        </w:rPr>
        <w:t>跨境资本流动。</w:t>
      </w:r>
    </w:p>
    <w:p/>
    <w:p>
      <w:pPr>
        <w:pStyle w:val="2"/>
      </w:pPr>
      <w:r>
        <w:rPr>
          <w:rFonts w:hint="eastAsia"/>
        </w:rPr>
        <w:t>一、导论</w:t>
      </w:r>
    </w:p>
    <w:bookmarkEnd w:id="3"/>
    <w:p>
      <w:r>
        <w:rPr>
          <w:rFonts w:hint="eastAsia"/>
        </w:rPr>
        <w:t>1978年改革伊始，中国逐步实行社会主义市场经济体制并实施对外开放。1979年中国人口为9.75亿人，GDP为1782亿美元；印度人口为6.83亿人，GDP为1530亿美元。同期，中国人均GDP为183美元/人，印度人均GDP为224美元/人，中国人均GDP是印度的82%。截至2020年，中国人口为14.14亿人，GDP为147227亿美元，印度人口为13.8亿，GDP为26229亿美元，中国人均GDP为10412美元/人，印度人均GDP为1901美元/人，中国人均GDP是印度的5.48倍。中国和印度均为人口大国，有着类似的国际经济环境，但这期间中国经济增长速度却显著比印度高。</w:t>
      </w:r>
    </w:p>
    <w:p>
      <w:r>
        <w:rPr>
          <w:rFonts w:hint="eastAsia"/>
        </w:rPr>
        <w:t>新古典学派认为自由市场经济能自身实现优化发展，政府经济政策反而对市场经济产生不良冲击</w:t>
      </w:r>
      <w:r>
        <w:fldChar w:fldCharType="begin"/>
      </w:r>
      <w:r>
        <w:instrText xml:space="preserve"> ADDIN EN.CITE &lt;EndNote&gt;&lt;Cite&gt;&lt;Author&gt;Lucas Jr&lt;/Author&gt;&lt;Year&gt;1975&lt;/Year&gt;&lt;RecNum&gt;955&lt;/RecNum&gt;&lt;DisplayText&gt;(Lucas Jr, 1975)&lt;/DisplayText&gt;&lt;record&gt;&lt;rec-number&gt;955&lt;/rec-number&gt;&lt;foreign-keys&gt;&lt;key app="EN" db-id="dfw50pzpwrep2aeerx4v2xdyaa5vzeftr0xv" timestamp="1674198066"&gt;955&lt;/key&gt;&lt;/foreign-keys&gt;&lt;ref-type name="Journal Article"&gt;17&lt;/ref-type&gt;&lt;contributors&gt;&lt;authors&gt;&lt;author&gt;Lucas Jr, Robert E.&lt;/author&gt;&lt;/authors&gt;&lt;/contributors&gt;&lt;titles&gt;&lt;title&gt;An equilibrium model of the business cycle&lt;/title&gt;&lt;secondary-title&gt;Journal of political economy&lt;/secondary-title&gt;&lt;/titles&gt;&lt;periodical&gt;&lt;full-title&gt;Journal of political economy&lt;/full-title&gt;&lt;/periodical&gt;&lt;pages&gt;1113-1144&lt;/pages&gt;&lt;volume&gt;83&lt;/volume&gt;&lt;number&gt;6&lt;/number&gt;&lt;dates&gt;&lt;year&gt;1975&lt;/year&gt;&lt;/dates&gt;&lt;publisher&gt;The University of Chicago Press&lt;/publisher&gt;&lt;isbn&gt;0022-3808&lt;/isbn&gt;&lt;urls&gt;&lt;/urls&gt;&lt;/record&gt;&lt;/Cite&gt;&lt;/EndNote&gt;</w:instrText>
      </w:r>
      <w:r>
        <w:fldChar w:fldCharType="separate"/>
      </w:r>
      <w:r>
        <w:t>(Lucas , 1975)</w:t>
      </w:r>
      <w:r>
        <w:fldChar w:fldCharType="end"/>
      </w:r>
      <w:r>
        <w:rPr>
          <w:rFonts w:hint="eastAsia"/>
        </w:rPr>
        <w:t>。按新古典学派经济理论，政府对经济干预比中国少的印度经济其增长率应该比中国经济增长率更高，现实却是1979年至2020年中国经济增长率比印度经济增长率显著高，这意味着新古典学派</w:t>
      </w:r>
      <w:r>
        <w:rPr>
          <w:rFonts w:hint="default"/>
        </w:rPr>
        <w:t>不能很好解释</w:t>
      </w:r>
      <w:r>
        <w:rPr>
          <w:rFonts w:hint="eastAsia"/>
        </w:rPr>
        <w:t>中印两国过去四十多年经济增长</w:t>
      </w:r>
      <w:r>
        <w:rPr>
          <w:rFonts w:hint="default"/>
        </w:rPr>
        <w:t>如此差异的</w:t>
      </w:r>
      <w:r>
        <w:rPr>
          <w:rFonts w:hint="eastAsia"/>
        </w:rPr>
        <w:t>现实。凯恩斯学派</w:t>
      </w:r>
      <w:r>
        <w:rPr>
          <w:rFonts w:hint="default"/>
        </w:rPr>
        <w:t>分凯恩斯经济思想</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ADDIN EN.CITE &lt;EndNote&gt;&lt;Cite&gt;&lt;Author&gt;Keynes&lt;/Author&gt;&lt;Year&gt;1937&lt;/Year&gt;&lt;RecNum&gt;952&lt;/RecNum&gt;&lt;DisplayText&gt;(Keynes, 1937)&lt;/DisplayText&gt;&lt;record&gt;&lt;rec-number&gt;952&lt;/rec-number&gt;&lt;foreign-keys&gt;&lt;key app="EN" db-id="dfw50pzpwrep2aeerx4v2xdyaa5vzeftr0xv" timestamp="1674197990"&gt;952&lt;/key&gt;&lt;/foreign-keys&gt;&lt;ref-type name="Journal Article"&gt;17&lt;/ref-type&gt;&lt;contributors&gt;&lt;authors&gt;&lt;author&gt;Keynes, John Maynard&lt;/author&gt;&lt;/authors&gt;&lt;/contributors&gt;&lt;titles&gt;&lt;title&gt;The general theory of employment&lt;/title&gt;&lt;secondary-title&gt;The quarterly journal of economics&lt;/secondary-title&gt;&lt;/titles&gt;&lt;periodical&gt;&lt;full-title&gt;The quarterly journal of economics&lt;/full-title&gt;&lt;/periodical&gt;&lt;pages&gt;209-223&lt;/pages&gt;&lt;volume&gt;51&lt;/volume&gt;&lt;number&gt;2&lt;/number&gt;&lt;dates&gt;&lt;year&gt;1937&lt;/year&gt;&lt;/dates&gt;&lt;publisher&gt;MIT press&lt;/publisher&gt;&lt;isbn&gt;1531-4650&lt;/isbn&gt;&lt;urls&gt;&lt;/urls&gt;&lt;/record&gt;&lt;/Cite&gt;&lt;/EndNote&gt;</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(Keynes, 1937)</w:t>
      </w:r>
      <w:r>
        <w:rPr>
          <w:rFonts w:hint="eastAsia" w:asciiTheme="minorEastAsia" w:hAnsiTheme="minorEastAsia" w:eastAsiaTheme="minorEastAsia" w:cstheme="minorEastAsia"/>
        </w:rPr>
        <w:fldChar w:fldCharType="end"/>
      </w:r>
      <w:r>
        <w:rPr>
          <w:rFonts w:hint="default"/>
        </w:rPr>
        <w:t>和希克斯IS-LM数学模型</w:t>
      </w:r>
      <w:r>
        <w:rPr>
          <w:rFonts w:hint="eastAsia"/>
        </w:rPr>
        <w:t>（</w:t>
      </w:r>
      <w:r>
        <w:t>Hicks</w:t>
      </w:r>
      <w:r>
        <w:rPr>
          <w:rFonts w:hint="eastAsia"/>
        </w:rPr>
        <w:t>，</w:t>
      </w:r>
      <w:r>
        <w:t>1937)</w:t>
      </w:r>
      <w:r>
        <w:rPr>
          <w:rFonts w:hint="default"/>
        </w:rPr>
        <w:t>两种。凯恩斯经济思想主张政府通过扩大政府支出提高就业率，提高社会产出，但没有指出政府支出的上限，即没有指出政府政策的约束边界。希克斯IS-LM数学模型</w:t>
      </w:r>
      <w:r>
        <w:rPr>
          <w:rFonts w:hint="eastAsia"/>
        </w:rPr>
        <w:t>认为</w:t>
      </w:r>
      <w:r>
        <w:rPr>
          <w:rFonts w:hint="default"/>
        </w:rPr>
        <w:t>，政府的最佳支出是使</w:t>
      </w:r>
      <w:r>
        <w:rPr>
          <w:rFonts w:hint="eastAsia"/>
        </w:rPr>
        <w:t>市场经济</w:t>
      </w:r>
      <w:r>
        <w:rPr>
          <w:rFonts w:hint="default"/>
        </w:rPr>
        <w:t>达到</w:t>
      </w:r>
      <w:r>
        <w:rPr>
          <w:rFonts w:hint="eastAsia"/>
        </w:rPr>
        <w:t>优化稳定均衡</w:t>
      </w:r>
      <w:r>
        <w:rPr>
          <w:rFonts w:hint="default"/>
        </w:rPr>
        <w:t>利率</w:t>
      </w:r>
      <w:r>
        <w:rPr>
          <w:rFonts w:hint="eastAsia"/>
        </w:rPr>
        <w:t>的</w:t>
      </w:r>
      <w:r>
        <w:rPr>
          <w:rFonts w:hint="default"/>
        </w:rPr>
        <w:t>那个点。尽管中国经济实践有凯恩斯学派的影子，但中国经济实践并不以凯恩斯学经济理论为指导原则。</w:t>
      </w:r>
    </w:p>
    <w:p>
      <w:r>
        <w:rPr>
          <w:rFonts w:hint="eastAsia" w:asciiTheme="minorEastAsia" w:hAnsiTheme="minorEastAsia" w:eastAsiaTheme="minorEastAsia" w:cstheme="minorEastAsia"/>
        </w:rPr>
        <w:t>经济理论分经济思想和数学模型两种。亚当斯密的《国富论》(Smith, 1776）、凯恩斯的《通论》</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ADDIN EN.CITE &lt;EndNote&gt;&lt;Cite&gt;&lt;Author&gt;Keynes&lt;/Author&gt;&lt;Year&gt;1937&lt;/Year&gt;&lt;RecNum&gt;952&lt;/RecNum&gt;&lt;DisplayText&gt;(Keynes, 1937)&lt;/DisplayText&gt;&lt;record&gt;&lt;rec-number&gt;952&lt;/rec-number&gt;&lt;foreign-keys&gt;&lt;key app="EN" db-id="dfw50pzpwrep2aeerx4v2xdyaa5vzeftr0xv" timestamp="1674197990"&gt;952&lt;/key&gt;&lt;/foreign-keys&gt;&lt;ref-type name="Journal Article"&gt;17&lt;/ref-type&gt;&lt;contributors&gt;&lt;authors&gt;&lt;author&gt;Keynes, John Maynard&lt;/author&gt;&lt;/authors&gt;&lt;/contributors&gt;&lt;titles&gt;&lt;title&gt;The general theory of employment&lt;/title&gt;&lt;secondary-title&gt;The quarterly journal of economics&lt;/secondary-title&gt;&lt;/titles&gt;&lt;periodical&gt;&lt;full-title&gt;The quarterly journal of economics&lt;/full-title&gt;&lt;/periodical&gt;&lt;pages&gt;209-223&lt;/pages&gt;&lt;volume&gt;51&lt;/volume&gt;&lt;number&gt;2&lt;/number&gt;&lt;dates&gt;&lt;year&gt;1937&lt;/year&gt;&lt;/dates&gt;&lt;publisher&gt;MIT press&lt;/publisher&gt;&lt;isbn&gt;1531-4650&lt;/isbn&gt;&lt;urls&gt;&lt;/urls&gt;&lt;/record&gt;&lt;/Cite&gt;&lt;/EndNote&gt;</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(Keynes, 1937)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、马克思的《资本论》（</w:t>
      </w:r>
      <w:r>
        <w:rPr>
          <w:rFonts w:hint="eastAsia" w:asciiTheme="minorEastAsia" w:hAnsiTheme="minorEastAsia" w:eastAsiaTheme="minorEastAsia" w:cstheme="minorEastAsia"/>
          <w:lang w:val="en-US" w:eastAsia="zh-CN"/>
        </w:rPr>
        <w:t>马克思</w:t>
      </w: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972</w:t>
      </w:r>
      <w:r>
        <w:rPr>
          <w:rFonts w:hint="eastAsia" w:asciiTheme="minorEastAsia" w:hAnsiTheme="minorEastAsia" w:eastAsiaTheme="minorEastAsia" w:cstheme="minorEastAsia"/>
        </w:rPr>
        <w:t>）和习</w:t>
      </w:r>
      <w:r>
        <w:rPr>
          <w:rFonts w:hint="eastAsia" w:asciiTheme="minorEastAsia" w:hAnsiTheme="minorEastAsia" w:eastAsiaTheme="minorEastAsia" w:cstheme="minorEastAsia"/>
          <w:lang w:val="en-US" w:eastAsia="zh-CN"/>
        </w:rPr>
        <w:t>近平</w:t>
      </w:r>
      <w:r>
        <w:rPr>
          <w:rFonts w:hint="eastAsia" w:asciiTheme="minorEastAsia" w:hAnsiTheme="minorEastAsia" w:eastAsiaTheme="minorEastAsia" w:cstheme="minorEastAsia"/>
        </w:rPr>
        <w:t>总书记《对发展社会主义市场经济的再认识》（习近平，2001）等为经济思想</w:t>
      </w:r>
      <w:r>
        <w:rPr>
          <w:rFonts w:hint="default" w:asciiTheme="minorEastAsia" w:hAnsiTheme="minorEastAsia" w:eastAsiaTheme="minorEastAsia" w:cstheme="minorEastAsia"/>
        </w:rPr>
        <w:t>著作</w:t>
      </w:r>
      <w:r>
        <w:rPr>
          <w:rFonts w:hint="eastAsia" w:asciiTheme="minorEastAsia" w:hAnsiTheme="minorEastAsia" w:eastAsiaTheme="minorEastAsia" w:cstheme="minorEastAsia"/>
        </w:rPr>
        <w:t>。经济思想属于对经济活动规律的观察、归纳和总结，一般不</w:t>
      </w:r>
      <w:r>
        <w:rPr>
          <w:rFonts w:hint="default" w:asciiTheme="minorEastAsia" w:hAnsiTheme="minorEastAsia" w:eastAsiaTheme="minorEastAsia" w:cstheme="minorEastAsia"/>
        </w:rPr>
        <w:t>形</w:t>
      </w:r>
      <w:r>
        <w:rPr>
          <w:rFonts w:hint="eastAsia" w:asciiTheme="minorEastAsia" w:hAnsiTheme="minorEastAsia" w:eastAsiaTheme="minorEastAsia" w:cstheme="minorEastAsia"/>
        </w:rPr>
        <w:t>成形式逻辑体系</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即一般不构建数学模型</w:t>
      </w:r>
      <w:r>
        <w:rPr>
          <w:rFonts w:hint="eastAsia" w:asciiTheme="minorEastAsia" w:hAnsiTheme="minorEastAsia" w:eastAsiaTheme="minorEastAsia" w:cstheme="minorEastAsia"/>
        </w:rPr>
        <w:t>。</w:t>
      </w:r>
      <w:r>
        <w:rPr>
          <w:rFonts w:hint="eastAsia"/>
        </w:rPr>
        <w:t>经济理论数学模型是以数学为工具的形式逻辑体系，其构建包括把现实经济活动主体抽象成数学体，把现实经济活动抽象成数学意义上的经济活动，</w:t>
      </w:r>
      <w:r>
        <w:rPr>
          <w:rFonts w:hint="default"/>
        </w:rPr>
        <w:t>提出</w:t>
      </w:r>
      <w:r>
        <w:rPr>
          <w:rFonts w:hint="eastAsia"/>
        </w:rPr>
        <w:t>模型经济体基本规律假设作为</w:t>
      </w:r>
      <w:r>
        <w:rPr>
          <w:rFonts w:hint="default"/>
        </w:rPr>
        <w:t>经济理论数学模型</w:t>
      </w:r>
      <w:r>
        <w:rPr>
          <w:rFonts w:hint="eastAsia"/>
        </w:rPr>
        <w:t>形式逻辑</w:t>
      </w:r>
      <w:r>
        <w:rPr>
          <w:rFonts w:hint="default"/>
        </w:rPr>
        <w:t>体系</w:t>
      </w:r>
      <w:r>
        <w:rPr>
          <w:rFonts w:hint="eastAsia"/>
        </w:rPr>
        <w:t>的逻辑前提，</w:t>
      </w:r>
      <w:r>
        <w:rPr>
          <w:rFonts w:hint="default"/>
        </w:rPr>
        <w:t>在逻辑前提的基础上</w:t>
      </w:r>
      <w:r>
        <w:rPr>
          <w:rFonts w:hint="eastAsia"/>
        </w:rPr>
        <w:t>用数学工具演绎模型经济体其它经济活动规律。</w:t>
      </w:r>
      <w:r>
        <w:t>一个</w:t>
      </w:r>
      <w:r>
        <w:rPr>
          <w:rFonts w:hint="eastAsia"/>
        </w:rPr>
        <w:t>经济理论数学模型往往</w:t>
      </w:r>
      <w:r>
        <w:rPr>
          <w:rFonts w:hint="eastAsia"/>
          <w:lang w:val="en-US" w:eastAsia="zh-CN"/>
        </w:rPr>
        <w:t>与</w:t>
      </w:r>
      <w:r>
        <w:rPr>
          <w:rFonts w:hint="eastAsia"/>
        </w:rPr>
        <w:t>某种经济思想</w:t>
      </w:r>
      <w:r>
        <w:rPr>
          <w:rFonts w:hint="eastAsia"/>
          <w:lang w:val="en-US" w:eastAsia="zh-CN"/>
        </w:rPr>
        <w:t>有渊源</w:t>
      </w:r>
      <w:r>
        <w:rPr>
          <w:rFonts w:hint="eastAsia"/>
        </w:rPr>
        <w:t>，比如阿罗-德布鲁一般均衡微观经济</w:t>
      </w:r>
      <w:r>
        <w:rPr>
          <w:rFonts w:hint="default"/>
        </w:rPr>
        <w:t>理论</w:t>
      </w:r>
      <w:r>
        <w:rPr>
          <w:rFonts w:hint="eastAsia"/>
        </w:rPr>
        <w:t>数学模型（</w:t>
      </w:r>
      <w:r>
        <w:t>Arrow and Debreu</w:t>
      </w:r>
      <w:r>
        <w:rPr>
          <w:rFonts w:hint="eastAsia"/>
        </w:rPr>
        <w:t>，</w:t>
      </w:r>
      <w:r>
        <w:t>1954)以亚当斯密《国富论》的经济思想为基础，</w:t>
      </w:r>
      <w:r>
        <w:rPr>
          <w:rFonts w:hint="eastAsia"/>
        </w:rPr>
        <w:t>索洛经济增长宏观经济</w:t>
      </w:r>
      <w:r>
        <w:rPr>
          <w:rFonts w:hint="default"/>
        </w:rPr>
        <w:t>理论</w:t>
      </w:r>
      <w:r>
        <w:rPr>
          <w:rFonts w:hint="eastAsia"/>
        </w:rPr>
        <w:t>数学模型（</w:t>
      </w:r>
      <w:r>
        <w:t>Solow</w:t>
      </w:r>
      <w:r>
        <w:rPr>
          <w:rFonts w:hint="eastAsia"/>
        </w:rPr>
        <w:t>，</w:t>
      </w:r>
      <w:r>
        <w:t>1956)也以</w:t>
      </w:r>
      <w:r>
        <w:rPr>
          <w:rFonts w:hint="eastAsia"/>
        </w:rPr>
        <w:t>亚当斯密《国富论》</w:t>
      </w:r>
      <w:r>
        <w:rPr>
          <w:rFonts w:hint="eastAsia"/>
          <w:lang w:val="en-US" w:eastAsia="zh-CN"/>
        </w:rPr>
        <w:t>的</w:t>
      </w:r>
      <w:r>
        <w:rPr>
          <w:rFonts w:hint="default"/>
        </w:rPr>
        <w:t>经济思想为基础</w:t>
      </w:r>
      <w:r>
        <w:rPr>
          <w:rFonts w:hint="eastAsia"/>
        </w:rPr>
        <w:t>，希克斯IS-LM宏观经济</w:t>
      </w:r>
      <w:r>
        <w:rPr>
          <w:rFonts w:hint="default"/>
        </w:rPr>
        <w:t>理论</w:t>
      </w:r>
      <w:r>
        <w:rPr>
          <w:rFonts w:hint="eastAsia"/>
        </w:rPr>
        <w:t>数学模型（</w:t>
      </w:r>
      <w:r>
        <w:t>Hicks</w:t>
      </w:r>
      <w:r>
        <w:rPr>
          <w:rFonts w:hint="eastAsia"/>
        </w:rPr>
        <w:t>，</w:t>
      </w:r>
      <w:r>
        <w:t>1937)</w:t>
      </w:r>
      <w:r>
        <w:rPr>
          <w:rFonts w:hint="eastAsia"/>
          <w:lang w:val="en-US" w:eastAsia="zh-CN"/>
        </w:rPr>
        <w:t>受</w:t>
      </w:r>
      <w:r>
        <w:rPr>
          <w:rFonts w:hint="eastAsia"/>
        </w:rPr>
        <w:t>凯恩斯《通论》经济思想</w:t>
      </w:r>
      <w:r>
        <w:rPr>
          <w:rFonts w:hint="eastAsia"/>
          <w:lang w:val="en-US" w:eastAsia="zh-CN"/>
        </w:rPr>
        <w:t>的影响</w:t>
      </w:r>
      <w:r>
        <w:rPr>
          <w:rFonts w:hint="eastAsia"/>
        </w:rPr>
        <w:t>。</w:t>
      </w:r>
    </w:p>
    <w:p>
      <w:r>
        <w:rPr>
          <w:rFonts w:hint="eastAsia" w:cs="宋体"/>
          <w:color w:val="000000"/>
          <w:kern w:val="0"/>
          <w:szCs w:val="21"/>
        </w:rPr>
        <w:t>马克思的《资本论》和习近平总书记等几代中共领导人对社会主义市场经济制度的优越性做了全面而深刻的阐述</w:t>
      </w:r>
      <w:r>
        <w:rPr>
          <w:rFonts w:cs="宋体"/>
          <w:color w:val="000000"/>
          <w:kern w:val="0"/>
          <w:szCs w:val="21"/>
        </w:rPr>
        <w:t>，指出资本主义市场经济的重大缺陷如爆发周期性金融危机</w:t>
      </w:r>
      <w:r>
        <w:rPr>
          <w:rFonts w:hint="eastAsia" w:ascii="微软雅黑" w:hAnsi="微软雅黑" w:eastAsia="微软雅黑" w:cs="微软雅黑"/>
          <w:color w:val="000000"/>
          <w:kern w:val="0"/>
          <w:szCs w:val="21"/>
        </w:rPr>
        <w:t>、</w:t>
      </w:r>
      <w:r>
        <w:rPr>
          <w:rFonts w:cs="宋体"/>
          <w:color w:val="000000"/>
          <w:kern w:val="0"/>
          <w:szCs w:val="21"/>
        </w:rPr>
        <w:t>经济危机</w:t>
      </w:r>
      <w:r>
        <w:rPr>
          <w:rFonts w:hint="eastAsia" w:cs="宋体"/>
          <w:color w:val="000000"/>
          <w:kern w:val="0"/>
          <w:szCs w:val="21"/>
          <w:lang w:val="en-US" w:eastAsia="zh-CN"/>
        </w:rPr>
        <w:t>和贫富差距</w:t>
      </w:r>
      <w:r>
        <w:rPr>
          <w:rFonts w:cs="宋体"/>
          <w:color w:val="000000"/>
          <w:kern w:val="0"/>
          <w:szCs w:val="21"/>
        </w:rPr>
        <w:t>，指出社会主义市场经济制度的优越性如集中力量办大事</w:t>
      </w:r>
      <w:r>
        <w:rPr>
          <w:rFonts w:hint="eastAsia" w:ascii="微软雅黑" w:hAnsi="微软雅黑" w:eastAsia="微软雅黑" w:cs="微软雅黑"/>
          <w:color w:val="000000"/>
          <w:kern w:val="0"/>
          <w:szCs w:val="21"/>
        </w:rPr>
        <w:t>、</w:t>
      </w:r>
      <w:r>
        <w:rPr>
          <w:rFonts w:cs="宋体"/>
          <w:color w:val="000000"/>
          <w:kern w:val="0"/>
          <w:szCs w:val="21"/>
        </w:rPr>
        <w:t>人民经济</w:t>
      </w:r>
      <w:r>
        <w:rPr>
          <w:rFonts w:hint="eastAsia" w:cs="宋体"/>
          <w:color w:val="000000"/>
          <w:kern w:val="0"/>
          <w:szCs w:val="21"/>
          <w:lang w:val="en-US" w:eastAsia="zh-CN"/>
        </w:rPr>
        <w:t>和</w:t>
      </w:r>
      <w:r>
        <w:rPr>
          <w:rFonts w:cs="宋体"/>
          <w:color w:val="000000"/>
          <w:kern w:val="0"/>
          <w:szCs w:val="21"/>
        </w:rPr>
        <w:t>共同富裕等</w:t>
      </w:r>
      <w:r>
        <w:rPr>
          <w:rFonts w:hint="eastAsia" w:cs="宋体"/>
          <w:color w:val="000000"/>
          <w:kern w:val="0"/>
          <w:szCs w:val="21"/>
        </w:rPr>
        <w:t>。</w:t>
      </w:r>
      <w:r>
        <w:rPr>
          <w:rFonts w:hint="eastAsia"/>
        </w:rPr>
        <w:t>本文以下部分首先讨论</w:t>
      </w:r>
      <w:r>
        <w:rPr>
          <w:rFonts w:hint="default"/>
        </w:rPr>
        <w:t>科学与经济理论数学模型</w:t>
      </w:r>
      <w:r>
        <w:rPr>
          <w:rFonts w:hint="eastAsia"/>
        </w:rPr>
        <w:t>，</w:t>
      </w:r>
      <w:r>
        <w:rPr>
          <w:rFonts w:hint="eastAsia"/>
          <w:lang w:val="en-US" w:eastAsia="zh-CN"/>
        </w:rPr>
        <w:t>指出科学是形式逻辑体系</w:t>
      </w:r>
      <w:r>
        <w:rPr>
          <w:rFonts w:hint="eastAsia" w:ascii="微软雅黑" w:hAnsi="微软雅黑" w:eastAsia="微软雅黑" w:cs="微软雅黑"/>
          <w:lang w:val="en-US" w:eastAsia="zh-CN"/>
        </w:rPr>
        <w:t>、</w:t>
      </w:r>
      <w:r>
        <w:rPr>
          <w:rFonts w:hint="eastAsia"/>
          <w:lang w:val="en-US" w:eastAsia="zh-CN"/>
        </w:rPr>
        <w:t>经济理论数学模型是用数学工具表述的关于经济活动规律的科学理论；指出经济理论数学模型须提出关于经济活动的基本规律假设作为其逻辑前提。依</w:t>
      </w:r>
      <w:r>
        <w:rPr>
          <w:rFonts w:hint="default"/>
          <w:lang w:eastAsia="zh-CN"/>
        </w:rPr>
        <w:t>此</w:t>
      </w:r>
      <w:r>
        <w:rPr>
          <w:rFonts w:hint="eastAsia"/>
          <w:lang w:val="en-US" w:eastAsia="zh-CN"/>
        </w:rPr>
        <w:t>视角，本文指出</w:t>
      </w:r>
      <w:r>
        <w:rPr>
          <w:rFonts w:hint="eastAsia" w:asciiTheme="minorEastAsia" w:hAnsiTheme="minorEastAsia" w:eastAsiaTheme="minorEastAsia" w:cstheme="minorEastAsia"/>
        </w:rPr>
        <w:t>阿罗-德布鲁</w:t>
      </w:r>
      <w:r>
        <w:rPr>
          <w:rFonts w:hint="default" w:asciiTheme="minorEastAsia" w:hAnsiTheme="minorEastAsia" w:eastAsiaTheme="minorEastAsia" w:cstheme="minorEastAsia"/>
        </w:rPr>
        <w:t>一般均衡模型</w:t>
      </w:r>
      <w:r>
        <w:rPr>
          <w:rFonts w:hint="eastAsia" w:asciiTheme="minorEastAsia" w:hAnsiTheme="minorEastAsia" w:eastAsiaTheme="minorEastAsia" w:cstheme="minorEastAsia"/>
          <w:lang w:val="en-US" w:eastAsia="zh-CN"/>
        </w:rPr>
        <w:t>是新古典学派的微观基础数学模型</w:t>
      </w:r>
      <w:r>
        <w:rPr>
          <w:rFonts w:hint="default" w:asciiTheme="minorEastAsia" w:hAnsiTheme="minorEastAsia" w:eastAsiaTheme="minorEastAsia" w:cstheme="minorEastAsia"/>
        </w:rPr>
        <w:t>、</w:t>
      </w:r>
      <w:r>
        <w:rPr>
          <w:rFonts w:hint="eastAsia" w:asciiTheme="minorEastAsia" w:hAnsiTheme="minorEastAsia" w:eastAsiaTheme="minorEastAsia" w:cstheme="minorEastAsia"/>
        </w:rPr>
        <w:t>索洛</w:t>
      </w:r>
      <w:r>
        <w:rPr>
          <w:rFonts w:hint="default" w:asciiTheme="minorEastAsia" w:hAnsiTheme="minorEastAsia" w:eastAsiaTheme="minorEastAsia" w:cstheme="minorEastAsia"/>
        </w:rPr>
        <w:t>经济增长模型</w:t>
      </w:r>
      <w:r>
        <w:rPr>
          <w:rFonts w:hint="eastAsia" w:asciiTheme="minorEastAsia" w:hAnsiTheme="minorEastAsia" w:eastAsiaTheme="minorEastAsia" w:cstheme="minorEastAsia"/>
          <w:lang w:val="en-US" w:eastAsia="zh-CN"/>
        </w:rPr>
        <w:t>是新古典学派的宏观基础数学模型</w:t>
      </w:r>
      <w:r>
        <w:rPr>
          <w:rFonts w:hint="default" w:asciiTheme="minorEastAsia" w:hAnsiTheme="minorEastAsia" w:eastAsiaTheme="minorEastAsia" w:cstheme="minorEastAsia"/>
        </w:rPr>
        <w:t>、</w:t>
      </w:r>
      <w:r>
        <w:rPr>
          <w:rFonts w:hint="eastAsia" w:asciiTheme="minorEastAsia" w:hAnsiTheme="minorEastAsia" w:eastAsiaTheme="minorEastAsia" w:cstheme="minorEastAsia"/>
        </w:rPr>
        <w:t>希克斯IS-LM</w:t>
      </w:r>
      <w:r>
        <w:rPr>
          <w:rFonts w:hint="eastAsia" w:asciiTheme="minorEastAsia" w:hAnsiTheme="minorEastAsia" w:eastAsiaTheme="minorEastAsia" w:cstheme="minorEastAsia"/>
          <w:lang w:val="en-US" w:eastAsia="zh-CN"/>
        </w:rPr>
        <w:t>模型是凯恩斯学派的宏观基础数学模型。</w:t>
      </w:r>
      <w:r>
        <w:rPr>
          <w:rFonts w:hint="default" w:asciiTheme="minorEastAsia" w:hAnsiTheme="minorEastAsia" w:eastAsiaTheme="minorEastAsia" w:cstheme="minorEastAsia"/>
        </w:rPr>
        <w:t>经济理论</w:t>
      </w:r>
      <w:r>
        <w:rPr>
          <w:rFonts w:hint="eastAsia" w:asciiTheme="minorEastAsia" w:hAnsiTheme="minorEastAsia" w:eastAsiaTheme="minorEastAsia" w:cstheme="minorEastAsia"/>
          <w:lang w:val="en-US" w:eastAsia="zh-CN"/>
        </w:rPr>
        <w:t>基础数学</w:t>
      </w:r>
      <w:r>
        <w:rPr>
          <w:rFonts w:hint="default" w:asciiTheme="minorEastAsia" w:hAnsiTheme="minorEastAsia" w:eastAsiaTheme="minorEastAsia" w:cstheme="minorEastAsia"/>
        </w:rPr>
        <w:t>模型指整个学派的逻辑前提。</w:t>
      </w:r>
      <w:r>
        <w:rPr>
          <w:rFonts w:hint="eastAsia" w:asciiTheme="minorEastAsia" w:hAnsiTheme="minorEastAsia" w:eastAsiaTheme="minorEastAsia" w:cstheme="minorEastAsia"/>
          <w:lang w:val="en-US" w:eastAsia="zh-CN"/>
        </w:rPr>
        <w:t>本文指出，新古典学派和凯恩斯学派经济理论基础模型中存在若干关于市场经济的</w:t>
      </w:r>
      <w:r>
        <w:rPr>
          <w:rFonts w:hint="eastAsia" w:asciiTheme="minorEastAsia" w:hAnsiTheme="minorEastAsia" w:eastAsiaTheme="minorEastAsia" w:cstheme="minorEastAsia"/>
        </w:rPr>
        <w:t>基本规</w:t>
      </w:r>
      <w:r>
        <w:rPr>
          <w:rFonts w:hint="eastAsia"/>
        </w:rPr>
        <w:t>律假设过强。</w:t>
      </w:r>
      <w:r>
        <w:rPr>
          <w:rFonts w:hint="default"/>
        </w:rPr>
        <w:t>本文</w:t>
      </w:r>
      <w:r>
        <w:rPr>
          <w:rFonts w:hint="eastAsia" w:asciiTheme="minorEastAsia" w:hAnsiTheme="minorEastAsia" w:eastAsiaTheme="minorEastAsia" w:cstheme="minorEastAsia"/>
        </w:rPr>
        <w:t>以马克思的《资本论》和习近平总书记等几代中共领导人关于社会主义市场经济的论述为经济思想基础，</w:t>
      </w:r>
      <w:r>
        <w:rPr>
          <w:rFonts w:hint="eastAsia" w:asciiTheme="minorEastAsia" w:hAnsiTheme="minorEastAsia" w:eastAsiaTheme="minorEastAsia" w:cstheme="minorEastAsia"/>
          <w:lang w:val="en-US" w:eastAsia="zh-CN"/>
        </w:rPr>
        <w:t>改进</w:t>
      </w:r>
      <w:r>
        <w:rPr>
          <w:rFonts w:hint="eastAsia" w:asciiTheme="minorEastAsia" w:hAnsiTheme="minorEastAsia" w:eastAsiaTheme="minorEastAsia" w:cstheme="minorEastAsia"/>
        </w:rPr>
        <w:t>新古典学派和凯恩斯学派</w:t>
      </w:r>
      <w:r>
        <w:rPr>
          <w:rFonts w:hint="eastAsia" w:asciiTheme="minorEastAsia" w:hAnsiTheme="minorEastAsia" w:eastAsiaTheme="minorEastAsia" w:cstheme="minorEastAsia"/>
          <w:lang w:val="en-US" w:eastAsia="zh-CN"/>
        </w:rPr>
        <w:t>关于市场经济的基本规律假设，构建</w:t>
      </w:r>
      <w:r>
        <w:rPr>
          <w:rFonts w:hint="eastAsia" w:asciiTheme="minorEastAsia" w:hAnsiTheme="minorEastAsia" w:eastAsiaTheme="minorEastAsia" w:cstheme="minorEastAsia"/>
        </w:rPr>
        <w:t>社会主义市场经济理论</w:t>
      </w:r>
      <w:r>
        <w:rPr>
          <w:rFonts w:hint="eastAsia" w:asciiTheme="minorEastAsia" w:hAnsiTheme="minorEastAsia" w:eastAsiaTheme="minorEastAsia" w:cstheme="minorEastAsia"/>
          <w:lang w:val="en-US" w:eastAsia="zh-CN"/>
        </w:rPr>
        <w:t>基础</w:t>
      </w:r>
      <w:r>
        <w:rPr>
          <w:rFonts w:hint="eastAsia" w:asciiTheme="minorEastAsia" w:hAnsiTheme="minorEastAsia" w:eastAsiaTheme="minorEastAsia" w:cstheme="minorEastAsia"/>
        </w:rPr>
        <w:t>数学模型，包括微观</w:t>
      </w:r>
      <w:r>
        <w:rPr>
          <w:rFonts w:hint="eastAsia" w:asciiTheme="minorEastAsia" w:hAnsiTheme="minorEastAsia" w:eastAsiaTheme="minorEastAsia" w:cstheme="minorEastAsia"/>
          <w:lang w:val="en-US" w:eastAsia="zh-CN"/>
        </w:rPr>
        <w:t>基础数学</w:t>
      </w:r>
      <w:r>
        <w:rPr>
          <w:rFonts w:hint="eastAsia" w:asciiTheme="minorEastAsia" w:hAnsiTheme="minorEastAsia" w:eastAsiaTheme="minorEastAsia" w:cstheme="minorEastAsia"/>
        </w:rPr>
        <w:t>模型</w:t>
      </w:r>
      <w:r>
        <w:rPr>
          <w:rFonts w:hint="eastAsia" w:asciiTheme="minorEastAsia" w:hAnsiTheme="minorEastAsia" w:eastAsiaTheme="minorEastAsia" w:cstheme="minorEastAsia"/>
          <w:lang w:val="en-US" w:eastAsia="zh-CN"/>
        </w:rPr>
        <w:t>和宏观基础数学模型，创建社会主义市场经济理论学派。本文指出，经济理论数学模型中的经济变量一般应该</w:t>
      </w:r>
      <w:r>
        <w:rPr>
          <w:rFonts w:hint="default" w:asciiTheme="minorEastAsia" w:hAnsiTheme="minorEastAsia" w:eastAsiaTheme="minorEastAsia" w:cstheme="minorEastAsia"/>
          <w:lang w:eastAsia="zh-CN"/>
        </w:rPr>
        <w:t>按</w:t>
      </w:r>
      <w:r>
        <w:rPr>
          <w:rFonts w:hint="eastAsia" w:asciiTheme="minorEastAsia" w:hAnsiTheme="minorEastAsia" w:eastAsiaTheme="minorEastAsia" w:cstheme="minorEastAsia"/>
          <w:lang w:val="en-US" w:eastAsia="zh-CN"/>
        </w:rPr>
        <w:t>收益法估算，而现实中的统计数据往往是成本法估算</w:t>
      </w:r>
      <w:r>
        <w:rPr>
          <w:rFonts w:hint="default" w:asciiTheme="minorEastAsia" w:hAnsiTheme="minorEastAsia" w:eastAsiaTheme="minorEastAsia" w:cstheme="minorEastAsia"/>
          <w:lang w:eastAsia="zh-CN"/>
        </w:rPr>
        <w:t>的</w:t>
      </w:r>
      <w:r>
        <w:rPr>
          <w:rFonts w:hint="eastAsia" w:asciiTheme="minorEastAsia" w:hAnsiTheme="minorEastAsia" w:eastAsiaTheme="minorEastAsia" w:cstheme="minorEastAsia"/>
          <w:lang w:val="en-US" w:eastAsia="zh-CN"/>
        </w:rPr>
        <w:t>，这两者之间的系统性误差可能足够大以至对数学模型的定量检验没有可以信赖的意义。本文指出，经济理论数学模型更有意义的方面是对各种经济现实做</w:t>
      </w:r>
      <w:r>
        <w:rPr>
          <w:rFonts w:hint="default" w:asciiTheme="minorEastAsia" w:hAnsiTheme="minorEastAsia" w:eastAsiaTheme="minorEastAsia" w:cstheme="minorEastAsia"/>
          <w:lang w:eastAsia="zh-CN"/>
        </w:rPr>
        <w:t>定性</w:t>
      </w:r>
      <w:r>
        <w:rPr>
          <w:rFonts w:hint="eastAsia" w:asciiTheme="minorEastAsia" w:hAnsiTheme="minorEastAsia" w:eastAsiaTheme="minorEastAsia" w:cstheme="minorEastAsia"/>
          <w:lang w:val="en-US" w:eastAsia="zh-CN"/>
        </w:rPr>
        <w:t>解释，</w:t>
      </w:r>
      <w:r>
        <w:rPr>
          <w:rFonts w:hint="default" w:asciiTheme="minorEastAsia" w:hAnsiTheme="minorEastAsia" w:eastAsiaTheme="minorEastAsia" w:cstheme="minorEastAsia"/>
          <w:lang w:eastAsia="zh-CN"/>
        </w:rPr>
        <w:t>而</w:t>
      </w:r>
      <w:r>
        <w:rPr>
          <w:rFonts w:hint="eastAsia" w:asciiTheme="minorEastAsia" w:hAnsiTheme="minorEastAsia" w:eastAsiaTheme="minorEastAsia" w:cstheme="minorEastAsia"/>
          <w:lang w:val="en-US" w:eastAsia="zh-CN"/>
        </w:rPr>
        <w:t>对定量实证</w:t>
      </w:r>
      <w:r>
        <w:rPr>
          <w:rFonts w:hint="default" w:asciiTheme="minorEastAsia" w:hAnsiTheme="minorEastAsia" w:eastAsiaTheme="minorEastAsia" w:cstheme="minorEastAsia"/>
          <w:lang w:eastAsia="zh-CN"/>
        </w:rPr>
        <w:t>则</w:t>
      </w:r>
      <w:r>
        <w:rPr>
          <w:rFonts w:hint="eastAsia" w:asciiTheme="minorEastAsia" w:hAnsiTheme="minorEastAsia" w:eastAsiaTheme="minorEastAsia" w:cstheme="minorEastAsia"/>
          <w:lang w:val="en-US" w:eastAsia="zh-CN"/>
        </w:rPr>
        <w:t>应足够审慎。本文最后是政策建议。</w:t>
      </w:r>
    </w:p>
    <w:p/>
    <w:p>
      <w:pPr>
        <w:pStyle w:val="2"/>
      </w:pPr>
      <w:r>
        <w:rPr>
          <w:rFonts w:hint="eastAsia"/>
        </w:rPr>
        <w:t>二、经济理论数学模型</w:t>
      </w:r>
    </w:p>
    <w:p>
      <w:pPr>
        <w:pStyle w:val="4"/>
        <w:ind w:firstLine="420"/>
        <w:rPr>
          <w:rFonts w:hint="default"/>
          <w:lang w:val="en-US"/>
        </w:rPr>
      </w:pPr>
      <w:r>
        <w:rPr>
          <w:rFonts w:hint="eastAsia"/>
        </w:rPr>
        <w:t>（一）</w:t>
      </w:r>
      <w:r>
        <w:rPr>
          <w:rFonts w:hint="eastAsia"/>
          <w:lang w:val="en-US" w:eastAsia="zh-CN"/>
        </w:rPr>
        <w:t>科学与数学模型</w:t>
      </w:r>
    </w:p>
    <w:p>
      <w:pPr>
        <w:rPr>
          <w:rFonts w:hint="default"/>
          <w:lang w:eastAsia="zh-CN"/>
        </w:rPr>
      </w:pPr>
      <w:r>
        <w:t>爱因斯坦（</w:t>
      </w:r>
      <w:r>
        <w:fldChar w:fldCharType="begin"/>
      </w:r>
      <w:r>
        <w:instrText xml:space="preserve"> ADDIN EN.CITE &lt;EndNote&gt;&lt;Cite AuthorYear="1"&gt;&lt;Author&gt;Einstein&lt;/Author&gt;&lt;Year&gt;2011&lt;/Year&gt;&lt;RecNum&gt;939&lt;/RecNum&gt;&lt;DisplayText&gt;Einstein (2011)&lt;/DisplayText&gt;&lt;record&gt;&lt;rec-number&gt;939&lt;/rec-number&gt;&lt;foreign-keys&gt;&lt;key app="EN" db-id="dfw50pzpwrep2aeerx4v2xdyaa5vzeftr0xv" timestamp="1674195779"&gt;939&lt;/key&gt;&lt;/foreign-keys&gt;&lt;ref-type name="Book"&gt;6&lt;/ref-type&gt;&lt;contributors&gt;&lt;authors&gt;&lt;author&gt;Einstein, Albert&lt;/author&gt;&lt;/authors&gt;&lt;/contributors&gt;&lt;titles&gt;&lt;title&gt;Letters to Solovine, 1906–1955&lt;/title&gt;&lt;/titles&gt;&lt;dates&gt;&lt;year&gt;2011&lt;/year&gt;&lt;/dates&gt;&lt;publisher&gt;Open Road Media&lt;/publisher&gt;&lt;isbn&gt;1453204849&lt;/isbn&gt;&lt;urls&gt;&lt;/urls&gt;&lt;/record&gt;&lt;/Cite&gt;&lt;/EndNote&gt;</w:instrText>
      </w:r>
      <w:r>
        <w:fldChar w:fldCharType="separate"/>
      </w:r>
      <w:r>
        <w:t>Einstein ，</w:t>
      </w:r>
      <w:r>
        <w:rPr>
          <w:rFonts w:hint="eastAsia"/>
        </w:rPr>
        <w:t>1952</w:t>
      </w:r>
      <w:r>
        <w:t>)</w:t>
      </w:r>
      <w:r>
        <w:fldChar w:fldCharType="end"/>
      </w:r>
      <w:r>
        <w:rPr>
          <w:rFonts w:hint="eastAsia"/>
        </w:rPr>
        <w:t>认为，西方科学的发展基于两个伟大成就：一是希腊哲学家发明的以欧几里德几何学为表现形式的形式逻辑体系，二是文艺复兴时期</w:t>
      </w:r>
      <w:r>
        <w:t>发展起来的</w:t>
      </w:r>
      <w:r>
        <w:rPr>
          <w:rFonts w:hint="eastAsia"/>
        </w:rPr>
        <w:t>验证两个事物之间是否存在因果关系的系统实验。根据</w:t>
      </w:r>
      <w:r>
        <w:rPr>
          <w:rFonts w:hint="eastAsia"/>
          <w:lang w:val="en-US" w:eastAsia="zh-CN"/>
        </w:rPr>
        <w:t>爱因斯坦对科学的论述和本人对科学的理解，本文</w:t>
      </w:r>
      <w:r>
        <w:rPr>
          <w:rFonts w:hint="eastAsia"/>
        </w:rPr>
        <w:t>认为</w:t>
      </w:r>
      <w:r>
        <w:rPr>
          <w:rFonts w:hint="eastAsia"/>
          <w:lang w:val="en-US" w:eastAsia="zh-CN"/>
        </w:rPr>
        <w:t>科学是科学家为研究某事物发展规律而主观构建的形式逻辑体系。科学应首先提出关于事物发展规律的基本规律假设作为形式逻辑体系的逻辑前提。</w:t>
      </w:r>
      <w:r>
        <w:rPr>
          <w:rFonts w:hint="default"/>
          <w:lang w:eastAsia="zh-CN"/>
        </w:rPr>
        <w:t>基本规律假设是无法证明，也无需证明，只要以基本规律假设为逻辑前提能解释研究目标的发展规律即可。比如行星之间的运动，牛顿经典力学认为是因为万有引力，而爱因斯坦的相对论则认为是因为空间是弯曲的。这两种基本规律假设都能解释行星之间的运动规律，从科学理论的视角看都是有意义的。</w:t>
      </w:r>
    </w:p>
    <w:p>
      <w:r>
        <w:rPr>
          <w:rFonts w:hint="eastAsia"/>
          <w:lang w:val="en-US" w:eastAsia="zh-CN"/>
        </w:rPr>
        <w:t>不管是自然科学还是社会科学，其发展规律都很复杂，用普通的文字语言很难对其形式逻辑体系做准确的表述。本文认为，数学模型是</w:t>
      </w:r>
      <w:r>
        <w:t>用数学符号、函数和方程表达的</w:t>
      </w:r>
      <w:r>
        <w:rPr>
          <w:rFonts w:hint="eastAsia"/>
        </w:rPr>
        <w:t>关于</w:t>
      </w:r>
      <w:r>
        <w:rPr>
          <w:rFonts w:hint="eastAsia"/>
          <w:lang w:val="en-US" w:eastAsia="zh-CN"/>
        </w:rPr>
        <w:t>某</w:t>
      </w:r>
      <w:r>
        <w:rPr>
          <w:rFonts w:hint="default"/>
        </w:rPr>
        <w:t>事物</w:t>
      </w:r>
      <w:r>
        <w:rPr>
          <w:rFonts w:hint="eastAsia"/>
          <w:lang w:val="en-US" w:eastAsia="zh-CN"/>
        </w:rPr>
        <w:t>发展规律</w:t>
      </w:r>
      <w:r>
        <w:rPr>
          <w:rFonts w:hint="eastAsia"/>
        </w:rPr>
        <w:t>的形式逻辑体系</w:t>
      </w:r>
      <w:r>
        <w:rPr>
          <w:rFonts w:hint="eastAsia"/>
          <w:lang w:eastAsia="zh-CN"/>
        </w:rPr>
        <w:t>，</w:t>
      </w:r>
      <w:r>
        <w:rPr>
          <w:rFonts w:hint="eastAsia"/>
          <w:lang w:val="en-US" w:eastAsia="zh-CN"/>
        </w:rPr>
        <w:t>即数学模型是</w:t>
      </w:r>
      <w:r>
        <w:t>用数学符号、函数和方程表达的</w:t>
      </w:r>
      <w:r>
        <w:rPr>
          <w:rFonts w:hint="eastAsia"/>
        </w:rPr>
        <w:t>关于</w:t>
      </w:r>
      <w:r>
        <w:rPr>
          <w:rFonts w:hint="eastAsia"/>
          <w:lang w:val="en-US" w:eastAsia="zh-CN"/>
        </w:rPr>
        <w:t>某</w:t>
      </w:r>
      <w:r>
        <w:rPr>
          <w:rFonts w:hint="default"/>
        </w:rPr>
        <w:t>事物</w:t>
      </w:r>
      <w:r>
        <w:rPr>
          <w:rFonts w:hint="eastAsia"/>
          <w:lang w:val="en-US" w:eastAsia="zh-CN"/>
        </w:rPr>
        <w:t>发展规律</w:t>
      </w:r>
      <w:r>
        <w:rPr>
          <w:rFonts w:hint="eastAsia"/>
        </w:rPr>
        <w:t>的</w:t>
      </w:r>
      <w:r>
        <w:rPr>
          <w:rFonts w:hint="eastAsia"/>
          <w:lang w:val="en-US" w:eastAsia="zh-CN"/>
        </w:rPr>
        <w:t>科学理论。</w:t>
      </w:r>
      <w:r>
        <w:rPr>
          <w:rFonts w:hint="default"/>
          <w:lang w:eastAsia="zh-CN"/>
        </w:rPr>
        <w:t>比如，牛顿三大运动定律是牛顿经典力学关于经典世界物体运动的基本规律假设。经典力学中的质点是数学体，质量、距离、时间，力等都是数学意义上的变量。</w:t>
      </w:r>
    </w:p>
    <w:p>
      <w:pPr>
        <w:pStyle w:val="4"/>
        <w:ind w:firstLine="420"/>
        <w:rPr>
          <w:rFonts w:hint="default" w:eastAsia="宋体"/>
          <w:lang w:val="en-US" w:eastAsia="zh-CN"/>
        </w:rPr>
      </w:pPr>
      <w:r>
        <w:rPr>
          <w:rFonts w:hint="eastAsia"/>
        </w:rPr>
        <w:t>（二）</w:t>
      </w:r>
      <w:r>
        <w:rPr>
          <w:rFonts w:hint="eastAsia"/>
          <w:lang w:val="en-US" w:eastAsia="zh-CN"/>
        </w:rPr>
        <w:t>市场</w:t>
      </w:r>
      <w:r>
        <w:rPr>
          <w:rFonts w:hint="eastAsia"/>
        </w:rPr>
        <w:t>经济理论数学模型</w:t>
      </w:r>
      <w:r>
        <w:rPr>
          <w:rFonts w:hint="eastAsia" w:ascii="微软雅黑" w:hAnsi="微软雅黑" w:eastAsia="微软雅黑" w:cs="微软雅黑"/>
        </w:rPr>
        <w:t>、</w:t>
      </w:r>
      <w:r>
        <w:rPr>
          <w:rFonts w:hint="eastAsia"/>
          <w:lang w:val="en-US" w:eastAsia="zh-CN"/>
        </w:rPr>
        <w:t>基本规律假设和经济理论学派</w:t>
      </w:r>
    </w:p>
    <w:p>
      <w:pPr>
        <w:rPr>
          <w:color w:val="231F20"/>
          <w:kern w:val="0"/>
          <w:lang w:bidi="ar"/>
        </w:rPr>
      </w:pPr>
      <w:r>
        <w:rPr>
          <w:rFonts w:hint="eastAsia"/>
          <w:color w:val="231F20"/>
        </w:rPr>
        <w:t>关于什么是</w:t>
      </w:r>
      <w:r>
        <w:rPr>
          <w:rFonts w:hint="eastAsia"/>
          <w:color w:val="231F20"/>
          <w:lang w:val="en-US" w:eastAsia="zh-CN"/>
        </w:rPr>
        <w:t>市场</w:t>
      </w:r>
      <w:r>
        <w:rPr>
          <w:rFonts w:hint="eastAsia"/>
          <w:color w:val="231F20"/>
        </w:rPr>
        <w:t>经济理论，</w:t>
      </w:r>
      <w:r>
        <w:rPr>
          <w:rFonts w:hint="eastAsia"/>
          <w:color w:val="231F20"/>
          <w:lang w:val="en-US" w:eastAsia="zh-CN"/>
        </w:rPr>
        <w:t>西方主流经济理论学者</w:t>
      </w:r>
      <w:r>
        <w:rPr>
          <w:rFonts w:hint="eastAsia"/>
          <w:color w:val="231F20"/>
        </w:rPr>
        <w:t>有过各种阐述。瓦尔德（</w:t>
      </w:r>
      <w:r>
        <w:rPr>
          <w:color w:val="231F20"/>
        </w:rPr>
        <w:fldChar w:fldCharType="begin"/>
      </w:r>
      <w:r>
        <w:rPr>
          <w:color w:val="231F20"/>
        </w:rPr>
        <w:instrText xml:space="preserve"> ADDIN EN.CITE &lt;EndNote&gt;&lt;Cite AuthorYear="1"&gt;&lt;Author&gt;Wald&lt;/Author&gt;&lt;Year&gt;1951&lt;/Year&gt;&lt;RecNum&gt;959&lt;/RecNum&gt;&lt;DisplayText&gt;Wald (1951)&lt;/DisplayText&gt;&lt;record&gt;&lt;rec-number&gt;959&lt;/rec-number&gt;&lt;foreign-keys&gt;&lt;key app="EN" db-id="dfw50pzpwrep2aeerx4v2xdyaa5vzeftr0xv" timestamp="1674198151"&gt;959&lt;/key&gt;&lt;/foreign-keys&gt;&lt;ref-type name="Journal Article"&gt;17&lt;/ref-type&gt;&lt;contributors&gt;&lt;authors&gt;&lt;author&gt;Wald, Abraham&lt;/author&gt;&lt;/authors&gt;&lt;/contributors&gt;&lt;titles&gt;&lt;title&gt;On some systems of equations of mathematical economics&lt;/title&gt;&lt;secondary-title&gt;Econometrica: Journal of the Econometric Society&lt;/secondary-title&gt;&lt;/titles&gt;&lt;periodical&gt;&lt;full-title&gt;Econometrica: Journal of the Econometric Society&lt;/full-title&gt;&lt;/periodical&gt;&lt;pages&gt;368-403&lt;/pages&gt;&lt;dates&gt;&lt;year&gt;1951&lt;/year&gt;&lt;/dates&gt;&lt;publisher&gt;JSTOR&lt;/publisher&gt;&lt;isbn&gt;0012-9682&lt;/isbn&gt;&lt;urls&gt;&lt;/urls&gt;&lt;/record&gt;&lt;/Cite&gt;&lt;/EndNote&gt;</w:instrText>
      </w:r>
      <w:r>
        <w:rPr>
          <w:color w:val="231F20"/>
        </w:rPr>
        <w:fldChar w:fldCharType="separate"/>
      </w:r>
      <w:r>
        <w:rPr>
          <w:color w:val="231F20"/>
        </w:rPr>
        <w:t xml:space="preserve">Wald </w:t>
      </w:r>
      <w:r>
        <w:rPr>
          <w:rFonts w:hint="eastAsia"/>
          <w:color w:val="231F20"/>
        </w:rPr>
        <w:t>，</w:t>
      </w:r>
      <w:r>
        <w:rPr>
          <w:color w:val="231F20"/>
        </w:rPr>
        <w:t>1951)</w:t>
      </w:r>
      <w:r>
        <w:rPr>
          <w:color w:val="231F20"/>
        </w:rPr>
        <w:fldChar w:fldCharType="end"/>
      </w:r>
      <w:r>
        <w:rPr>
          <w:rFonts w:hint="eastAsia"/>
        </w:rPr>
        <w:t>称经济理论为数学经济学，主张用数学公式和数学关系对经济活动进行分析和表达。但</w:t>
      </w:r>
      <w:r>
        <w:rPr>
          <w:rFonts w:hint="default"/>
        </w:rPr>
        <w:t>他</w:t>
      </w:r>
      <w:r>
        <w:rPr>
          <w:rFonts w:hint="eastAsia"/>
        </w:rPr>
        <w:t>也指出数学经济学表达的是严格遵守假设条件的理想经济活动的规律，只有真实的经济活动严格精确地符合其假设条件时，数学经济学的结论对现实经济活动分析的结论才成立。索洛（</w:t>
      </w:r>
      <w:r>
        <w:fldChar w:fldCharType="begin"/>
      </w:r>
      <w:r>
        <w:instrText xml:space="preserve"> ADDIN EN.CITE &lt;EndNote&gt;&lt;Cite AuthorYear="1"&gt;&lt;Author&gt;Solow&lt;/Author&gt;&lt;Year&gt;1956&lt;/Year&gt;&lt;RecNum&gt;958&lt;/RecNum&gt;&lt;DisplayText&gt;Solow (1956)&lt;/DisplayText&gt;&lt;record&gt;&lt;rec-number&gt;958&lt;/rec-number&gt;&lt;foreign-keys&gt;&lt;key app="EN" db-id="dfw50pzpwrep2aeerx4v2xdyaa5vzeftr0xv" timestamp="1674198133"&gt;958&lt;/key&gt;&lt;/foreign-keys&gt;&lt;ref-type name="Journal Article"&gt;17&lt;/ref-type&gt;&lt;contributors&gt;&lt;authors&gt;&lt;author&gt;Solow, Robert M.&lt;/author&gt;&lt;/authors&gt;&lt;/contributors&gt;&lt;titles&gt;&lt;title&gt;A contribution to the theory of economic growth&lt;/title&gt;&lt;secondary-title&gt;The quarterly journal of economics&lt;/secondary-title&gt;&lt;/titles&gt;&lt;periodical&gt;&lt;full-title&gt;The quarterly journal of economics&lt;/full-title&gt;&lt;/periodical&gt;&lt;pages&gt;65-94&lt;/pages&gt;&lt;volume&gt;70&lt;/volume&gt;&lt;number&gt;1&lt;/number&gt;&lt;dates&gt;&lt;year&gt;1956&lt;/year&gt;&lt;/dates&gt;&lt;publisher&gt;MIT press&lt;/publisher&gt;&lt;isbn&gt;1531-4650&lt;/isbn&gt;&lt;urls&gt;&lt;/urls&gt;&lt;/record&gt;&lt;/Cite&gt;&lt;/EndNote&gt;</w:instrText>
      </w:r>
      <w:r>
        <w:fldChar w:fldCharType="separate"/>
      </w:r>
      <w:r>
        <w:t xml:space="preserve">Solow </w:t>
      </w:r>
      <w:r>
        <w:rPr>
          <w:rFonts w:hint="eastAsia"/>
        </w:rPr>
        <w:t>，</w:t>
      </w:r>
      <w:r>
        <w:t>1956)</w:t>
      </w:r>
      <w:r>
        <w:fldChar w:fldCharType="end"/>
      </w:r>
      <w:r>
        <w:rPr>
          <w:rFonts w:hint="eastAsia"/>
        </w:rPr>
        <w:t>认为经济理论建立在若干不完全真实的经过简化的假设基础上，而提出假设需要简化现实经济活动是不可避免的。经济理论的结论往往取决于其关键的假设，如果简化的假设有误，在其基础上构建的经济理论也会出现问题。卢卡斯（</w:t>
      </w:r>
      <w:r>
        <w:fldChar w:fldCharType="begin"/>
      </w:r>
      <w:r>
        <w:instrText xml:space="preserve"> ADDIN EN.CITE &lt;EndNote&gt;&lt;Cite AuthorYear="1"&gt;&lt;Author&gt;Lucas Jr&lt;/Author&gt;&lt;Year&gt;1988&lt;/Year&gt;&lt;RecNum&gt;954&lt;/RecNum&gt;&lt;DisplayText&gt;Lucas Jr (1988)&lt;/DisplayText&gt;&lt;record&gt;&lt;rec-number&gt;954&lt;/rec-number&gt;&lt;foreign-keys&gt;&lt;key app="EN" db-id="dfw50pzpwrep2aeerx4v2xdyaa5vzeftr0xv" timestamp="1674198044"&gt;954&lt;/key&gt;&lt;/foreign-keys&gt;&lt;ref-type name="Journal Article"&gt;17&lt;/ref-type&gt;&lt;contributors&gt;&lt;authors&gt;&lt;author&gt;Lucas Jr, Robert E.&lt;/author&gt;&lt;/authors&gt;&lt;/contributors&gt;&lt;titles&gt;&lt;title&gt;On the mechanics of economic development&lt;/title&gt;&lt;secondary-title&gt;Journal of monetary economics&lt;/secondary-title&gt;&lt;/titles&gt;&lt;periodical&gt;&lt;full-title&gt;Journal of monetary economics&lt;/full-title&gt;&lt;/periodical&gt;&lt;pages&gt;3-42&lt;/pages&gt;&lt;volume&gt;22&lt;/volume&gt;&lt;number&gt;1&lt;/number&gt;&lt;dates&gt;&lt;year&gt;1988&lt;/year&gt;&lt;/dates&gt;&lt;publisher&gt;Elsevier&lt;/publisher&gt;&lt;isbn&gt;0304-3932&lt;/isbn&gt;&lt;urls&gt;&lt;/urls&gt;&lt;/record&gt;&lt;/Cite&gt;&lt;/EndNote&gt;</w:instrText>
      </w:r>
      <w:r>
        <w:fldChar w:fldCharType="separate"/>
      </w:r>
      <w:r>
        <w:t>Lucas</w:t>
      </w:r>
      <w:r>
        <w:rPr>
          <w:rFonts w:hint="eastAsia"/>
        </w:rPr>
        <w:t>，</w:t>
      </w:r>
      <w:r>
        <w:t>1988)</w:t>
      </w:r>
      <w:r>
        <w:fldChar w:fldCharType="end"/>
      </w:r>
      <w:r>
        <w:rPr>
          <w:rFonts w:hint="eastAsia"/>
        </w:rPr>
        <w:t>指出论述的经济理论是狭义的，指的是</w:t>
      </w:r>
      <w:bookmarkEnd w:id="2"/>
      <w:r>
        <w:rPr>
          <w:rFonts w:hint="eastAsia"/>
        </w:rPr>
        <w:t>将现实经济活动的特性通过机人工想象的器人模拟在计算机上计算出来</w:t>
      </w:r>
      <w:r>
        <w:rPr>
          <w:rFonts w:hint="eastAsia"/>
          <w:color w:val="000000"/>
          <w:kern w:val="0"/>
          <w:lang w:bidi="ar"/>
        </w:rPr>
        <w:t>。</w:t>
      </w:r>
      <w:r>
        <w:rPr>
          <w:rFonts w:hint="eastAsia"/>
        </w:rPr>
        <w:t>关于什么是经济理论及其方法论，弗里德曼（</w:t>
      </w:r>
      <w:r>
        <w:fldChar w:fldCharType="begin"/>
      </w:r>
      <w:r>
        <w:instrText xml:space="preserve"> ADDIN EN.CITE &lt;EndNote&gt;&lt;Cite AuthorYear="1"&gt;&lt;Author&gt;Friedman&lt;/Author&gt;&lt;Year&gt;1953&lt;/Year&gt;&lt;RecNum&gt;950&lt;/RecNum&gt;&lt;DisplayText&gt;Friedman (1953)&lt;/DisplayText&gt;&lt;record&gt;&lt;rec-number&gt;950&lt;/rec-number&gt;&lt;foreign-keys&gt;&lt;key app="EN" db-id="dfw50pzpwrep2aeerx4v2xdyaa5vzeftr0xv" timestamp="1674197912"&gt;950&lt;/key&gt;&lt;/foreign-keys&gt;&lt;ref-type name="Book"&gt;6&lt;/ref-type&gt;&lt;contributors&gt;&lt;authors&gt;&lt;author&gt;Friedman, Milton&lt;/author&gt;&lt;/authors&gt;&lt;/contributors&gt;&lt;titles&gt;&lt;title&gt;Essays in positive economics&lt;/title&gt;&lt;/titles&gt;&lt;dates&gt;&lt;year&gt;1953&lt;/year&gt;&lt;/dates&gt;&lt;publisher&gt;University of Chicago press&lt;/publisher&gt;&lt;isbn&gt;0226264033&lt;/isbn&gt;&lt;urls&gt;&lt;/urls&gt;&lt;/record&gt;&lt;/Cite&gt;&lt;/EndNote&gt;</w:instrText>
      </w:r>
      <w:r>
        <w:fldChar w:fldCharType="separate"/>
      </w:r>
      <w:r>
        <w:t>Friedman</w:t>
      </w:r>
      <w:r>
        <w:rPr>
          <w:rFonts w:hint="eastAsia"/>
        </w:rPr>
        <w:t>，</w:t>
      </w:r>
      <w:r>
        <w:t>1953)</w:t>
      </w:r>
      <w:r>
        <w:fldChar w:fldCharType="end"/>
      </w:r>
      <w:r>
        <w:rPr>
          <w:rFonts w:hint="eastAsia"/>
        </w:rPr>
        <w:t>认为经济学是基于若干被普遍认可的总结而对经济活动的结果和经济环境变化进行预测的实证科学。经济理论实际上是一些综合假设的复合体，其有效的判断标准在于其对真实经济活动是否有良好的预测和解释能力。</w:t>
      </w:r>
      <w:r>
        <w:rPr>
          <w:rFonts w:hint="eastAsia"/>
          <w:color w:val="231F20"/>
          <w:kern w:val="0"/>
          <w:lang w:bidi="ar"/>
        </w:rPr>
        <w:t>如果经济活动结果与经济理论的预测一致，可以说经济活动现实支持这个假设，或者说经济活动的结果不能证伪这个假设，但不代表经济活动的这个结果证明了这个假设，也无法通过考察假设是否与现实一致而判断理论是否正确。</w:t>
      </w:r>
    </w:p>
    <w:p>
      <w:r>
        <w:rPr>
          <w:rFonts w:hint="eastAsia"/>
        </w:rPr>
        <w:t>上述</w:t>
      </w:r>
      <w:r>
        <w:rPr>
          <w:rFonts w:hint="eastAsia"/>
          <w:lang w:val="en-US" w:eastAsia="zh-CN"/>
        </w:rPr>
        <w:t>西方主流经济理论</w:t>
      </w:r>
      <w:r>
        <w:rPr>
          <w:rFonts w:hint="eastAsia"/>
        </w:rPr>
        <w:t>学者论述的</w:t>
      </w:r>
      <w:r>
        <w:rPr>
          <w:rFonts w:hint="eastAsia"/>
          <w:lang w:val="en-US" w:eastAsia="zh-CN"/>
        </w:rPr>
        <w:t>市场</w:t>
      </w:r>
      <w:r>
        <w:rPr>
          <w:rFonts w:hint="eastAsia"/>
        </w:rPr>
        <w:t>经济理论实际上</w:t>
      </w:r>
      <w:r>
        <w:t>是</w:t>
      </w:r>
      <w:r>
        <w:rPr>
          <w:rFonts w:hint="eastAsia"/>
          <w:lang w:val="en-US" w:eastAsia="zh-CN"/>
        </w:rPr>
        <w:t>经济理论数学模型，</w:t>
      </w:r>
      <w:r>
        <w:rPr>
          <w:rFonts w:hint="eastAsia"/>
        </w:rPr>
        <w:t>但本文认为</w:t>
      </w:r>
      <w:r>
        <w:rPr>
          <w:rFonts w:hint="eastAsia"/>
          <w:lang w:val="en-US" w:eastAsia="zh-CN"/>
        </w:rPr>
        <w:t>上述论述</w:t>
      </w:r>
      <w:r>
        <w:rPr>
          <w:rFonts w:hint="eastAsia"/>
        </w:rPr>
        <w:t>存在三点不足：第一，没有明确指出经济理论是人们主观构建的形式逻辑体系；第二，没有</w:t>
      </w:r>
      <w:r>
        <w:rPr>
          <w:rFonts w:hint="eastAsia"/>
          <w:lang w:val="en-US" w:eastAsia="zh-CN"/>
        </w:rPr>
        <w:t>明确指出</w:t>
      </w:r>
      <w:r>
        <w:rPr>
          <w:rFonts w:hint="eastAsia"/>
        </w:rPr>
        <w:t>关于市场经济的基本规律假设</w:t>
      </w:r>
      <w:r>
        <w:rPr>
          <w:rFonts w:hint="eastAsia"/>
          <w:lang w:val="en-US" w:eastAsia="zh-CN"/>
        </w:rPr>
        <w:t>是</w:t>
      </w:r>
      <w:r>
        <w:rPr>
          <w:rFonts w:hint="default"/>
        </w:rPr>
        <w:t>经济理论形式逻辑体系的逻辑前提</w:t>
      </w:r>
      <w:r>
        <w:rPr>
          <w:rFonts w:hint="eastAsia"/>
        </w:rPr>
        <w:t>；第三，并没有对</w:t>
      </w:r>
      <w:r>
        <w:rPr>
          <w:rFonts w:hint="default"/>
        </w:rPr>
        <w:t>其关于市场经济的</w:t>
      </w:r>
      <w:r>
        <w:rPr>
          <w:rFonts w:hint="eastAsia"/>
        </w:rPr>
        <w:t>基本规律假设做证伪</w:t>
      </w:r>
      <w:r>
        <w:rPr>
          <w:rFonts w:hint="default"/>
        </w:rPr>
        <w:t>检验</w:t>
      </w:r>
      <w:r>
        <w:rPr>
          <w:rFonts w:hint="eastAsia" w:ascii="宋体" w:hAnsi="宋体" w:cs="宋体"/>
        </w:rPr>
        <w:t>。</w:t>
      </w:r>
    </w:p>
    <w:p>
      <w:pPr>
        <w:rPr>
          <w:rFonts w:hint="default"/>
          <w:lang w:val="en-US" w:eastAsia="zh-CN"/>
        </w:rPr>
      </w:pPr>
      <w:r>
        <w:rPr>
          <w:rFonts w:hint="eastAsia"/>
        </w:rPr>
        <w:t>综合以上</w:t>
      </w:r>
      <w:r>
        <w:rPr>
          <w:rFonts w:hint="default"/>
        </w:rPr>
        <w:t>，</w:t>
      </w:r>
      <w:r>
        <w:rPr>
          <w:rFonts w:hint="eastAsia"/>
          <w:lang w:val="en-US" w:eastAsia="zh-CN"/>
        </w:rPr>
        <w:t>本文认为市场</w:t>
      </w:r>
      <w:r>
        <w:rPr>
          <w:rFonts w:hint="eastAsia"/>
        </w:rPr>
        <w:t>经济理论数学模型是</w:t>
      </w:r>
      <w:r>
        <w:t>用数学符号、函数和方程表达的</w:t>
      </w:r>
      <w:r>
        <w:rPr>
          <w:rFonts w:hint="eastAsia"/>
        </w:rPr>
        <w:t>关于</w:t>
      </w:r>
      <w:r>
        <w:rPr>
          <w:rFonts w:hint="eastAsia"/>
          <w:lang w:val="en-US" w:eastAsia="zh-CN"/>
        </w:rPr>
        <w:t>市场经济发展规律的</w:t>
      </w:r>
      <w:r>
        <w:rPr>
          <w:rFonts w:hint="eastAsia"/>
        </w:rPr>
        <w:t>形式逻辑体系</w:t>
      </w:r>
      <w:r>
        <w:rPr>
          <w:rFonts w:hint="eastAsia"/>
          <w:lang w:val="en-US" w:eastAsia="zh-CN"/>
        </w:rPr>
        <w:t>或科学理论。把经济主体抽象成数学体，把经济活动抽象成数学意义上的经济活动，提出关于市场经济的基本规律假设作为市场经济理论数学模型的逻辑前提。不同的经济学家提出不同的关于市场经济的基本规律假设，构成不同的经济理论学派。一个经济理论学派关于市场经济</w:t>
      </w:r>
      <w:r>
        <w:rPr>
          <w:rFonts w:hint="default"/>
          <w:lang w:eastAsia="zh-CN"/>
        </w:rPr>
        <w:t>的若干</w:t>
      </w:r>
      <w:r>
        <w:rPr>
          <w:rFonts w:hint="eastAsia"/>
          <w:lang w:val="en-US" w:eastAsia="zh-CN"/>
        </w:rPr>
        <w:t>重要基本规律假设</w:t>
      </w:r>
      <w:r>
        <w:rPr>
          <w:rFonts w:hint="default"/>
          <w:lang w:eastAsia="zh-CN"/>
        </w:rPr>
        <w:t>，即一个学派关于市场经济理论的形式逻辑体系前提，是</w:t>
      </w:r>
      <w:r>
        <w:rPr>
          <w:rFonts w:hint="eastAsia"/>
          <w:lang w:val="en-US" w:eastAsia="zh-CN"/>
        </w:rPr>
        <w:t>该学派</w:t>
      </w:r>
      <w:r>
        <w:rPr>
          <w:rFonts w:hint="default"/>
          <w:lang w:eastAsia="zh-CN"/>
        </w:rPr>
        <w:t>市场</w:t>
      </w:r>
      <w:r>
        <w:rPr>
          <w:rFonts w:hint="eastAsia"/>
          <w:lang w:val="en-US" w:eastAsia="zh-CN"/>
        </w:rPr>
        <w:t>经济理论</w:t>
      </w:r>
      <w:r>
        <w:rPr>
          <w:rFonts w:hint="default"/>
          <w:lang w:eastAsia="zh-CN"/>
        </w:rPr>
        <w:t>的</w:t>
      </w:r>
      <w:r>
        <w:rPr>
          <w:rFonts w:hint="eastAsia"/>
          <w:lang w:val="en-US" w:eastAsia="zh-CN"/>
        </w:rPr>
        <w:t>基础数学模型。</w:t>
      </w:r>
    </w:p>
    <w:p>
      <w:pPr>
        <w:rPr>
          <w:rFonts w:hint="default"/>
          <w:lang w:val="en-US" w:eastAsia="zh-CN"/>
        </w:rPr>
      </w:pPr>
      <w:r>
        <w:rPr>
          <w:rFonts w:hint="default" w:asciiTheme="minorEastAsia" w:hAnsiTheme="minorEastAsia" w:eastAsiaTheme="minorEastAsia" w:cstheme="minorEastAsia"/>
          <w:lang w:eastAsia="zh-CN"/>
        </w:rPr>
        <w:t>正如新古典学派微观基础数学模型阿罗-德布鲁一般均衡模型、宏观基础数学模型索洛经济增长模型以亚当斯密《国富论》经济思想为基础，凯恩斯学派宏观基础数学模型希克斯IS-LM模型受凯恩斯《通论》经济思想影响，</w:t>
      </w:r>
      <w:r>
        <w:rPr>
          <w:rFonts w:hint="eastAsia" w:asciiTheme="minorEastAsia" w:hAnsiTheme="minorEastAsia" w:eastAsiaTheme="minorEastAsia" w:cstheme="minorEastAsia"/>
          <w:lang w:val="en-US" w:eastAsia="zh-CN"/>
        </w:rPr>
        <w:t>本文</w:t>
      </w:r>
      <w:r>
        <w:rPr>
          <w:rFonts w:hint="default" w:asciiTheme="minorEastAsia" w:hAnsiTheme="minorEastAsia" w:eastAsiaTheme="minorEastAsia" w:cstheme="minorEastAsia"/>
          <w:lang w:eastAsia="zh-CN"/>
        </w:rPr>
        <w:t>尝试</w:t>
      </w:r>
      <w:r>
        <w:rPr>
          <w:rFonts w:hint="eastAsia" w:asciiTheme="minorEastAsia" w:hAnsiTheme="minorEastAsia" w:eastAsiaTheme="minorEastAsia" w:cstheme="minorEastAsia"/>
        </w:rPr>
        <w:t>以马克思《资本论》和习近平总书记等几代中共领导人关于社会主义市场经济的论述为经济思想基础，综合吸收新古典学派和凯恩斯学派的研究成果</w:t>
      </w:r>
      <w:r>
        <w:rPr>
          <w:rFonts w:hint="eastAsia" w:asciiTheme="minorEastAsia" w:hAnsiTheme="minorEastAsia" w:eastAsiaTheme="minorEastAsia" w:cstheme="minorEastAsia"/>
          <w:lang w:val="en-US" w:eastAsia="zh-CN"/>
        </w:rPr>
        <w:t>，提出与新古典学派和凯恩斯学派不同的关于市场经济的微观基本规律假设和宏观基本规律假设，构建社会主义市场经济理论</w:t>
      </w:r>
      <w:r>
        <w:rPr>
          <w:rFonts w:hint="default" w:asciiTheme="minorEastAsia" w:hAnsiTheme="minorEastAsia" w:eastAsiaTheme="minorEastAsia" w:cstheme="minorEastAsia"/>
          <w:lang w:eastAsia="zh-CN"/>
        </w:rPr>
        <w:t>微观</w:t>
      </w:r>
      <w:r>
        <w:rPr>
          <w:rFonts w:hint="eastAsia" w:asciiTheme="minorEastAsia" w:hAnsiTheme="minorEastAsia" w:eastAsiaTheme="minorEastAsia" w:cstheme="minorEastAsia"/>
          <w:lang w:val="en-US" w:eastAsia="zh-CN"/>
        </w:rPr>
        <w:t>基础数学模型</w:t>
      </w:r>
      <w:r>
        <w:rPr>
          <w:rFonts w:hint="default" w:asciiTheme="minorEastAsia" w:hAnsiTheme="minorEastAsia" w:eastAsiaTheme="minorEastAsia" w:cstheme="minorEastAsia"/>
          <w:lang w:eastAsia="zh-CN"/>
        </w:rPr>
        <w:t>和宏观基础数学模型</w:t>
      </w:r>
      <w:r>
        <w:rPr>
          <w:rFonts w:hint="eastAsia" w:asciiTheme="minorEastAsia" w:hAnsiTheme="minorEastAsia" w:eastAsiaTheme="minorEastAsia" w:cstheme="minorEastAsia"/>
          <w:lang w:val="en-US" w:eastAsia="zh-CN"/>
        </w:rPr>
        <w:t>，创建社会主义市场经济理论学派。</w:t>
      </w:r>
    </w:p>
    <w:p>
      <w:pPr>
        <w:numPr>
          <w:ilvl w:val="0"/>
          <w:numId w:val="1"/>
        </w:numPr>
      </w:pPr>
      <w:r>
        <w:rPr>
          <w:rFonts w:hint="eastAsia"/>
          <w:lang w:val="en-US" w:eastAsia="zh-CN"/>
        </w:rPr>
        <w:t>经济</w:t>
      </w:r>
      <w:r>
        <w:rPr>
          <w:rFonts w:hint="eastAsia"/>
        </w:rPr>
        <w:t>变量的测量和计量</w:t>
      </w:r>
    </w:p>
    <w:p>
      <w:pPr>
        <w:rPr>
          <w:rFonts w:hint="default"/>
        </w:rPr>
      </w:pPr>
      <w:r>
        <w:rPr>
          <w:rFonts w:hint="eastAsia"/>
        </w:rPr>
        <w:t>经济理论数学模型需要</w:t>
      </w:r>
      <w:r>
        <w:rPr>
          <w:rFonts w:hint="default"/>
        </w:rPr>
        <w:t>把</w:t>
      </w:r>
      <w:r>
        <w:rPr>
          <w:rFonts w:hint="eastAsia"/>
        </w:rPr>
        <w:t>现实经济主体和现实经济活动数学抽象成理想经济主体和理想经济活动。数学抽象的经济变量有的无法计量</w:t>
      </w:r>
      <w:r>
        <w:rPr>
          <w:rFonts w:hint="default"/>
        </w:rPr>
        <w:t>，</w:t>
      </w:r>
      <w:r>
        <w:rPr>
          <w:rFonts w:hint="eastAsia"/>
        </w:rPr>
        <w:t>如新古典学派阿罗-德布鲁微观一般均衡模型</w:t>
      </w:r>
      <w:r>
        <w:fldChar w:fldCharType="begin"/>
      </w:r>
      <w:r>
        <w:instrText xml:space="preserve"> ADDIN EN.CITE &lt;EndNote&gt;&lt;Cite&gt;&lt;Author&gt;Arrow&lt;/Author&gt;&lt;Year&gt;1954&lt;/Year&gt;&lt;RecNum&gt;942&lt;/RecNum&gt;&lt;DisplayText&gt;(Kenneth J. Arrow &amp;amp; Debreu, 1954)&lt;/DisplayText&gt;&lt;record&gt;&lt;rec-number&gt;942&lt;/rec-number&gt;&lt;foreign-keys&gt;&lt;key app="EN" db-id="dfw50pzpwrep2aeerx4v2xdyaa5vzeftr0xv" timestamp="1674197497"&gt;942&lt;/key&gt;&lt;/foreign-keys&gt;&lt;ref-type name="Journal Article"&gt;17&lt;/ref-type&gt;&lt;contributors&gt;&lt;authors&gt;&lt;author&gt;Arrow, Kenneth J.&lt;/author&gt;&lt;author&gt;Debreu, Gerard&lt;/author&gt;&lt;/authors&gt;&lt;/contributors&gt;&lt;titles&gt;&lt;title&gt;Existence of an equilibrium for a competitive economy&lt;/title&gt;&lt;secondary-title&gt;Econometrica: Journal of the Econometric Society&lt;/secondary-title&gt;&lt;/titles&gt;&lt;periodical&gt;&lt;full-title&gt;Econometrica: Journal of the Econometric Society&lt;/full-title&gt;&lt;/periodical&gt;&lt;pages&gt;265-290&lt;/pages&gt;&lt;dates&gt;&lt;year&gt;1954&lt;/year&gt;&lt;/dates&gt;&lt;publisher&gt;JSTOR&lt;/publisher&gt;&lt;isbn&gt;0012-9682&lt;/isbn&gt;&lt;urls&gt;&lt;/urls&gt;&lt;/record&gt;&lt;/Cite&gt;&lt;/EndNote&gt;</w:instrText>
      </w:r>
      <w:r>
        <w:fldChar w:fldCharType="separate"/>
      </w:r>
      <w:r>
        <w:t>( Arrow &amp; Debreu, 1954)</w:t>
      </w:r>
      <w:r>
        <w:fldChar w:fldCharType="end"/>
      </w:r>
      <w:r>
        <w:rPr>
          <w:rFonts w:hint="eastAsia"/>
        </w:rPr>
        <w:t>中的效用</w:t>
      </w:r>
      <w:r>
        <w:rPr>
          <w:rFonts w:hint="eastAsia"/>
          <w:lang w:eastAsia="zh-CN"/>
        </w:rPr>
        <w:t>（</w:t>
      </w:r>
      <w:r>
        <w:t xml:space="preserve">Samuelson, P. A., and Nordhaus, W. D. </w:t>
      </w:r>
      <w:r>
        <w:rPr>
          <w:rFonts w:hint="eastAsia"/>
          <w:lang w:eastAsia="zh-CN"/>
        </w:rPr>
        <w:t>，</w:t>
      </w:r>
      <w:r>
        <w:t>2012</w:t>
      </w:r>
      <w:r>
        <w:rPr>
          <w:rFonts w:hint="eastAsia"/>
          <w:lang w:eastAsia="zh-CN"/>
        </w:rPr>
        <w:t>）</w:t>
      </w:r>
      <w:r>
        <w:rPr>
          <w:rFonts w:hint="eastAsia"/>
        </w:rPr>
        <w:t>就无法计量和测量</w:t>
      </w:r>
      <w:r>
        <w:rPr>
          <w:rFonts w:hint="eastAsia"/>
          <w:lang w:eastAsia="zh-CN"/>
        </w:rPr>
        <w:t>；</w:t>
      </w:r>
      <w:r>
        <w:rPr>
          <w:rFonts w:hint="eastAsia"/>
        </w:rPr>
        <w:t>有的</w:t>
      </w:r>
      <w:r>
        <w:rPr>
          <w:rFonts w:hint="eastAsia"/>
          <w:lang w:val="en-US" w:eastAsia="zh-CN"/>
        </w:rPr>
        <w:t>则</w:t>
      </w:r>
      <w:r>
        <w:rPr>
          <w:rFonts w:hint="eastAsia"/>
        </w:rPr>
        <w:t>难以准确测量和计量</w:t>
      </w:r>
      <w:r>
        <w:rPr>
          <w:rFonts w:hint="eastAsia"/>
          <w:lang w:eastAsia="zh-CN"/>
        </w:rPr>
        <w:t>，</w:t>
      </w:r>
      <w:r>
        <w:rPr>
          <w:rFonts w:hint="eastAsia"/>
        </w:rPr>
        <w:t>如索洛</w:t>
      </w:r>
      <w:r>
        <w:fldChar w:fldCharType="begin"/>
      </w:r>
      <w:r>
        <w:instrText xml:space="preserve"> ADDIN EN.CITE &lt;EndNote&gt;&lt;Cite&gt;&lt;Author&gt;Solow&lt;/Author&gt;&lt;Year&gt;1956&lt;/Year&gt;&lt;RecNum&gt;958&lt;/RecNum&gt;&lt;DisplayText&gt;(Solow, 1956)&lt;/DisplayText&gt;&lt;record&gt;&lt;rec-number&gt;958&lt;/rec-number&gt;&lt;foreign-keys&gt;&lt;key app="EN" db-id="dfw50pzpwrep2aeerx4v2xdyaa5vzeftr0xv" timestamp="1674198133"&gt;958&lt;/key&gt;&lt;/foreign-keys&gt;&lt;ref-type name="Journal Article"&gt;17&lt;/ref-type&gt;&lt;contributors&gt;&lt;authors&gt;&lt;author&gt;Solow, Robert M.&lt;/author&gt;&lt;/authors&gt;&lt;/contributors&gt;&lt;titles&gt;&lt;title&gt;A contribution to the theory of economic growth&lt;/title&gt;&lt;secondary-title&gt;The quarterly journal of economics&lt;/secondary-title&gt;&lt;/titles&gt;&lt;periodical&gt;&lt;full-title&gt;The quarterly journal of economics&lt;/full-title&gt;&lt;/periodical&gt;&lt;pages&gt;65-94&lt;/pages&gt;&lt;volume&gt;70&lt;/volume&gt;&lt;number&gt;1&lt;/number&gt;&lt;dates&gt;&lt;year&gt;1956&lt;/year&gt;&lt;/dates&gt;&lt;publisher&gt;MIT press&lt;/publisher&gt;&lt;isbn&gt;1531-4650&lt;/isbn&gt;&lt;urls&gt;&lt;/urls&gt;&lt;/record&gt;&lt;/Cite&gt;&lt;/EndNote&gt;</w:instrText>
      </w:r>
      <w:r>
        <w:fldChar w:fldCharType="separate"/>
      </w:r>
      <w:r>
        <w:t>(Solow, 1956)</w:t>
      </w:r>
      <w:r>
        <w:fldChar w:fldCharType="end"/>
      </w:r>
      <w:r>
        <w:rPr>
          <w:rFonts w:hint="eastAsia"/>
        </w:rPr>
        <w:t>经济增长模型中的资本积累K和劳动力L就难以准确测量和计量</w:t>
      </w:r>
      <w:r>
        <w:rPr>
          <w:rFonts w:hint="eastAsia"/>
          <w:lang w:eastAsia="zh-CN"/>
        </w:rPr>
        <w:t>。</w:t>
      </w:r>
      <w:r>
        <w:rPr>
          <w:rFonts w:hint="eastAsia"/>
        </w:rPr>
        <w:t>索洛</w:t>
      </w:r>
      <w:r>
        <w:rPr>
          <w:rFonts w:hint="eastAsia"/>
          <w:lang w:val="en-US" w:eastAsia="zh-CN"/>
        </w:rPr>
        <w:t>经济增长</w:t>
      </w:r>
      <w:r>
        <w:rPr>
          <w:rFonts w:hint="eastAsia"/>
        </w:rPr>
        <w:t>模型中的资本积累K和劳动力L按数学含义</w:t>
      </w:r>
      <w:r>
        <w:rPr>
          <w:rFonts w:hint="default"/>
        </w:rPr>
        <w:t>应该用</w:t>
      </w:r>
      <w:r>
        <w:rPr>
          <w:rFonts w:hint="eastAsia"/>
        </w:rPr>
        <w:t>收益</w:t>
      </w:r>
      <w:r>
        <w:rPr>
          <w:rFonts w:hint="default"/>
        </w:rPr>
        <w:t>法</w:t>
      </w:r>
      <w:r>
        <w:rPr>
          <w:rFonts w:hint="eastAsia"/>
        </w:rPr>
        <w:t>估算，</w:t>
      </w:r>
      <w:r>
        <w:rPr>
          <w:rFonts w:hint="eastAsia"/>
          <w:lang w:val="en-US" w:eastAsia="zh-CN"/>
        </w:rPr>
        <w:t>但</w:t>
      </w:r>
      <w:r>
        <w:rPr>
          <w:rFonts w:hint="default"/>
        </w:rPr>
        <w:t>我们能</w:t>
      </w:r>
      <w:r>
        <w:rPr>
          <w:rFonts w:hint="eastAsia"/>
          <w:lang w:val="en-US" w:eastAsia="zh-CN"/>
        </w:rPr>
        <w:t>获得</w:t>
      </w:r>
      <w:r>
        <w:rPr>
          <w:rFonts w:hint="default"/>
        </w:rPr>
        <w:t>的</w:t>
      </w:r>
      <w:r>
        <w:rPr>
          <w:rFonts w:hint="eastAsia"/>
        </w:rPr>
        <w:t>现实统计数据一般是成本</w:t>
      </w:r>
      <w:r>
        <w:rPr>
          <w:rFonts w:hint="default"/>
        </w:rPr>
        <w:t>法</w:t>
      </w:r>
      <w:r>
        <w:rPr>
          <w:rFonts w:hint="eastAsia"/>
        </w:rPr>
        <w:t>估算</w:t>
      </w:r>
      <w:r>
        <w:rPr>
          <w:rFonts w:hint="eastAsia"/>
          <w:lang w:val="en-US" w:eastAsia="zh-CN"/>
        </w:rPr>
        <w:t>的</w:t>
      </w:r>
      <w:r>
        <w:rPr>
          <w:rFonts w:hint="default"/>
        </w:rPr>
        <w:t>，这两者之间可能存在系统性误差</w:t>
      </w:r>
      <w:r>
        <w:rPr>
          <w:rFonts w:hint="eastAsia"/>
          <w:lang w:eastAsia="zh-CN"/>
        </w:rPr>
        <w:t>。</w:t>
      </w:r>
      <w:r>
        <w:rPr>
          <w:rFonts w:hint="default"/>
        </w:rPr>
        <w:t>下面对此做具体说明。</w:t>
      </w:r>
    </w:p>
    <w:p>
      <w:pPr>
        <w:ind w:firstLine="0" w:firstLineChars="0"/>
      </w:pPr>
      <w:r>
        <w:rPr>
          <w:rFonts w:hint="eastAsia"/>
        </w:rPr>
        <w:t xml:space="preserve">   索洛经济增长模型的生产函数方程为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03"/>
        <w:gridCol w:w="859"/>
        <w:gridCol w:w="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03" w:type="dxa"/>
            <w:vAlign w:val="center"/>
          </w:tcPr>
          <w:p>
            <w:pPr>
              <w:ind w:firstLine="0" w:firstLineChars="0"/>
              <w:jc w:val="center"/>
            </w:pPr>
            <w:r>
              <w:rPr>
                <w:szCs w:val="21"/>
              </w:rPr>
              <w:t xml:space="preserve">   </w:t>
            </w:r>
            <w:r>
              <w:rPr>
                <w:rFonts w:hint="eastAsia"/>
                <w:szCs w:val="21"/>
              </w:rPr>
              <w:t>Y=f(K,L)</w:t>
            </w:r>
          </w:p>
        </w:tc>
        <w:tc>
          <w:tcPr>
            <w:tcW w:w="859" w:type="dxa"/>
            <w:vAlign w:val="center"/>
          </w:tcPr>
          <w:p>
            <w:pPr>
              <w:ind w:firstLine="0" w:firstLineChars="0"/>
              <w:jc w:val="right"/>
            </w:pPr>
            <w:r>
              <w:t>(</w:t>
            </w:r>
            <w:r>
              <w:rPr>
                <w:rFonts w:hint="eastAsia"/>
              </w:rPr>
              <w:t>2</w:t>
            </w:r>
            <w:r>
              <w:t>-</w:t>
            </w:r>
            <w:r>
              <w:rPr>
                <w:rFonts w:hint="eastAsia"/>
              </w:rPr>
              <w:t>1</w:t>
            </w:r>
            <w:r>
              <w:t>)</w:t>
            </w:r>
          </w:p>
        </w:tc>
        <w:tc>
          <w:tcPr>
            <w:tcW w:w="859" w:type="dxa"/>
            <w:vAlign w:val="center"/>
          </w:tcPr>
          <w:p>
            <w:pPr>
              <w:ind w:firstLine="0" w:firstLineChars="0"/>
              <w:jc w:val="right"/>
            </w:pPr>
          </w:p>
        </w:tc>
      </w:tr>
    </w:tbl>
    <w:p>
      <w:r>
        <w:rPr>
          <w:rFonts w:hint="eastAsia"/>
        </w:rPr>
        <w:t>式（2-1）中，Y为不变价格社会产出，K为社会资本积累，L为劳动力。按式（2-1）的含义，K</w:t>
      </w:r>
      <w:r>
        <w:rPr>
          <w:rFonts w:hint="eastAsia"/>
          <w:lang w:val="en-US" w:eastAsia="zh-CN"/>
        </w:rPr>
        <w:t>应按收益法估算</w:t>
      </w:r>
      <w:r>
        <w:rPr>
          <w:rFonts w:hint="eastAsia"/>
        </w:rPr>
        <w:t>，L</w:t>
      </w:r>
      <w:r>
        <w:rPr>
          <w:rFonts w:hint="eastAsia"/>
          <w:lang w:val="en-US" w:eastAsia="zh-CN"/>
        </w:rPr>
        <w:t>应依劳动技能估算</w:t>
      </w:r>
      <w:r>
        <w:rPr>
          <w:rFonts w:hint="eastAsia"/>
        </w:rPr>
        <w:t>。</w:t>
      </w:r>
      <w:r>
        <w:rPr>
          <w:rFonts w:hint="eastAsia" w:asciiTheme="minorEastAsia" w:hAnsiTheme="minorEastAsia" w:eastAsiaTheme="minorEastAsia" w:cstheme="minorEastAsia"/>
          <w:color w:val="000000"/>
          <w:lang w:bidi="en-US"/>
        </w:rPr>
        <w:t>索洛</w:t>
      </w:r>
      <w:r>
        <w:rPr>
          <w:rFonts w:hint="default" w:asciiTheme="minorEastAsia" w:hAnsiTheme="minorEastAsia" w:eastAsiaTheme="minorEastAsia" w:cstheme="minorEastAsia"/>
          <w:color w:val="000000"/>
          <w:lang w:bidi="en-US"/>
        </w:rPr>
        <w:t>用成本法估算的K和L</w:t>
      </w:r>
      <w:r>
        <w:rPr>
          <w:rFonts w:hint="eastAsia" w:asciiTheme="minorEastAsia" w:hAnsiTheme="minorEastAsia" w:eastAsiaTheme="minorEastAsia" w:cstheme="minorEastAsia"/>
          <w:color w:val="000000"/>
          <w:lang w:val="en-US" w:eastAsia="zh-CN" w:bidi="en-US"/>
        </w:rPr>
        <w:t>时间序列数据</w:t>
      </w:r>
      <w:r>
        <w:rPr>
          <w:rFonts w:hint="eastAsia" w:asciiTheme="minorEastAsia" w:hAnsiTheme="minorEastAsia" w:eastAsiaTheme="minorEastAsia" w:cstheme="minorEastAsia"/>
          <w:color w:val="000000"/>
          <w:lang w:bidi="en-US"/>
        </w:rPr>
        <w:t>对式（2-1）</w:t>
      </w:r>
      <w:r>
        <w:rPr>
          <w:rFonts w:hint="default" w:asciiTheme="minorEastAsia" w:hAnsiTheme="minorEastAsia" w:eastAsiaTheme="minorEastAsia" w:cstheme="minorEastAsia"/>
          <w:color w:val="000000"/>
          <w:lang w:bidi="en-US"/>
        </w:rPr>
        <w:t>做</w:t>
      </w:r>
      <w:r>
        <w:rPr>
          <w:rFonts w:hint="eastAsia" w:asciiTheme="minorEastAsia" w:hAnsiTheme="minorEastAsia" w:eastAsiaTheme="minorEastAsia" w:cstheme="minorEastAsia"/>
          <w:color w:val="000000"/>
          <w:lang w:val="en-US" w:eastAsia="zh-CN" w:bidi="en-US"/>
        </w:rPr>
        <w:t>统计回归</w:t>
      </w:r>
      <w:r>
        <w:rPr>
          <w:rFonts w:hint="eastAsia" w:asciiTheme="minorEastAsia" w:hAnsiTheme="minorEastAsia" w:eastAsiaTheme="minorEastAsia" w:cstheme="minorEastAsia"/>
          <w:color w:val="000000"/>
          <w:lang w:bidi="en-US"/>
        </w:rPr>
        <w:t>实证</w:t>
      </w:r>
      <w:r>
        <w:rPr>
          <w:rFonts w:hint="default" w:asciiTheme="minorEastAsia" w:hAnsiTheme="minorEastAsia" w:eastAsiaTheme="minorEastAsia" w:cstheme="minorEastAsia"/>
          <w:color w:val="000000"/>
          <w:lang w:bidi="en-US"/>
        </w:rPr>
        <w:t>，</w:t>
      </w:r>
      <w:r>
        <w:rPr>
          <w:rFonts w:hint="eastAsia" w:asciiTheme="minorEastAsia" w:hAnsiTheme="minorEastAsia" w:eastAsiaTheme="minorEastAsia" w:cstheme="minorEastAsia"/>
          <w:color w:val="000000"/>
          <w:lang w:val="en-US" w:eastAsia="zh-CN" w:bidi="en-US"/>
        </w:rPr>
        <w:t>结果</w:t>
      </w:r>
      <w:r>
        <w:rPr>
          <w:rFonts w:hint="eastAsia" w:asciiTheme="minorEastAsia" w:hAnsiTheme="minorEastAsia" w:eastAsiaTheme="minorEastAsia" w:cstheme="minorEastAsia"/>
          <w:color w:val="000000"/>
          <w:lang w:bidi="en-US"/>
        </w:rPr>
        <w:t>表明资本积累数量K和劳动力数量L对生产函数Y的解释不到12.5%，而不明原因对生产函数Y的解释达87.5%（Solow，1957）。索洛把这个不明原因解释为科学与技术变化，即知识的变化。如果按收益法估算资本积累K和劳动力L</w:t>
      </w:r>
      <w:r>
        <w:rPr>
          <w:rFonts w:hint="default" w:asciiTheme="minorEastAsia" w:hAnsiTheme="minorEastAsia" w:eastAsiaTheme="minorEastAsia" w:cstheme="minorEastAsia"/>
          <w:color w:val="000000"/>
          <w:lang w:bidi="en-US"/>
        </w:rPr>
        <w:t>，</w:t>
      </w:r>
      <w:r>
        <w:rPr>
          <w:rFonts w:hint="eastAsia" w:asciiTheme="minorEastAsia" w:hAnsiTheme="minorEastAsia" w:eastAsiaTheme="minorEastAsia" w:cstheme="minorEastAsia"/>
          <w:color w:val="000000"/>
          <w:lang w:bidi="en-US"/>
        </w:rPr>
        <w:t>则知识的变化可以包含在资本积累K和劳动力L中，这意味着索洛余值87.5%实质上是资本积累K和劳动力L成本法估算与收益法估算的系统性误差。</w:t>
      </w:r>
      <w:r>
        <w:rPr>
          <w:rFonts w:hint="eastAsia" w:asciiTheme="minorEastAsia" w:hAnsiTheme="minorEastAsia" w:eastAsiaTheme="minorEastAsia" w:cstheme="minorEastAsia"/>
          <w:color w:val="000000"/>
          <w:lang w:val="en-US" w:eastAsia="zh-CN" w:bidi="en-US"/>
        </w:rPr>
        <w:t>索洛这个用时间序列数据做统计回归实证的案例表明，经济变量用收益法估算的数据和用成本法统计的数据可能存在足够大的系统性误差</w:t>
      </w:r>
      <w:r>
        <w:rPr>
          <w:rFonts w:hint="eastAsia" w:asciiTheme="minorEastAsia" w:hAnsiTheme="minorEastAsia" w:eastAsiaTheme="minorEastAsia" w:cstheme="minorEastAsia"/>
          <w:lang w:val="en-US" w:eastAsia="zh-CN"/>
        </w:rPr>
        <w:t>以至对经济理论数学模型的定量检验可能没有可以信赖的意义。</w:t>
      </w:r>
    </w:p>
    <w:p>
      <w:pPr>
        <w:numPr>
          <w:ilvl w:val="0"/>
          <w:numId w:val="1"/>
        </w:numPr>
      </w:pPr>
      <w:r>
        <w:rPr>
          <w:rFonts w:hint="eastAsia"/>
          <w:lang w:val="en-US" w:eastAsia="zh-CN"/>
        </w:rPr>
        <w:t>新古典学派和凯恩斯学派的基础</w:t>
      </w:r>
      <w:r>
        <w:rPr>
          <w:rFonts w:hint="eastAsia"/>
        </w:rPr>
        <w:t>数学模型及其基本规律假设</w:t>
      </w:r>
    </w:p>
    <w:p>
      <w:r>
        <w:rPr>
          <w:rFonts w:hint="eastAsia"/>
          <w:lang w:val="en-US" w:eastAsia="zh-CN"/>
        </w:rPr>
        <w:t>新古典经济理论学派和凯恩斯学派被称为西方主流经济理论</w:t>
      </w:r>
      <w:r>
        <w:rPr>
          <w:rFonts w:hint="default"/>
          <w:lang w:eastAsia="zh-CN"/>
        </w:rPr>
        <w:t>。</w:t>
      </w:r>
      <w:r>
        <w:rPr>
          <w:rFonts w:hint="default"/>
        </w:rPr>
        <w:t>依经济思想和经济理论数学模型的视角，新古典和凯恩斯学派</w:t>
      </w:r>
      <w:r>
        <w:rPr>
          <w:rFonts w:hint="eastAsia"/>
        </w:rPr>
        <w:t>有重要影响的经济理论著作或论文包括：1776年亚当•斯密发表《国民财富的性质与原因研究（国富论）》，认为在没有政府干预的简单经济体系里市场看不见的手使劳动力自动地实现优化社会分工，使市场经济能自身实现最优化发展</w:t>
      </w:r>
      <w:r>
        <w:fldChar w:fldCharType="begin"/>
      </w:r>
      <w:r>
        <w:instrText xml:space="preserve"> ADDIN EN.CITE &lt;EndNote&gt;&lt;Cite&gt;&lt;Author&gt;Smith&lt;/Author&gt;&lt;Year&gt;1776&lt;/Year&gt;&lt;RecNum&gt;965&lt;/RecNum&gt;&lt;DisplayText&gt;(Smith, 1776)&lt;/DisplayText&gt;&lt;record&gt;&lt;rec-number&gt;965&lt;/rec-number&gt;&lt;foreign-keys&gt;&lt;key app="EN" db-id="dfw50pzpwrep2aeerx4v2xdyaa5vzeftr0xv" timestamp="1675571693"&gt;965&lt;/key&gt;&lt;/foreign-keys&gt;&lt;ref-type name="Book Section"&gt;5&lt;/ref-type&gt;&lt;contributors&gt;&lt;authors&gt;&lt;author&gt;Smith, Adam&lt;/author&gt;&lt;/authors&gt;&lt;/contributors&gt;&lt;titles&gt;&lt;title&gt;An inquiry into the nature and causes of the wealth of nations: Volume One&lt;/title&gt;&lt;/titles&gt;&lt;dates&gt;&lt;year&gt;1776&lt;/year&gt;&lt;/dates&gt;&lt;publisher&gt;London: printed for W. Strahan; and T. Cadell, 1776.&lt;/publisher&gt;&lt;urls&gt;&lt;/urls&gt;&lt;/record&gt;&lt;/Cite&gt;&lt;/EndNote&gt;</w:instrText>
      </w:r>
      <w:r>
        <w:fldChar w:fldCharType="separate"/>
      </w:r>
      <w:r>
        <w:t>(Smith, 1776)</w:t>
      </w:r>
      <w:r>
        <w:fldChar w:fldCharType="end"/>
      </w:r>
      <w:r>
        <w:rPr>
          <w:rFonts w:hint="eastAsia"/>
        </w:rPr>
        <w:t>。1874年瓦尔拉斯发表《纯粹政治经济学纲要》开创了一般均衡理论，1890年阿尔弗雷德•马歇尔1890年发表《经济学原理》建立了新古典学派的均衡分析方法</w:t>
      </w:r>
      <w:r>
        <w:fldChar w:fldCharType="begin"/>
      </w:r>
      <w:r>
        <w:rPr>
          <w:rFonts w:hint="eastAsia"/>
        </w:rPr>
        <w:instrText xml:space="preserve"> ADDIN EN.CITE &lt;EndNote&gt;&lt;Cite&gt;&lt;Author&gt;付才辉&lt;/Author&gt;&lt;Year&gt;2018&lt;/Year&gt;&lt;RecNum&gt;963&lt;/RecNum&gt;&lt;DisplayText&gt;(付才辉, 2018)&lt;/DisplayText&gt;&lt;record&gt;&lt;rec-number&gt;963&lt;/rec-number&gt;&lt;foreign-keys&gt;&lt;key app="EN" db-id="dfw50pzpwrep2aeerx4v2xdyaa5vzeftr0xv" timestamp="1674698370"&gt;963&lt;/key&gt;&lt;/foreign-keys&gt;&lt;ref-type name="Journal Article"&gt;17&lt;/ref-type&gt;&lt;contributors&gt;&lt;authors&gt;&lt;author&gt;&lt;style face="normal" font="default" charset="134" size="100%"&gt;付才辉&lt;/style&gt;&lt;/author&gt;&lt;/authors&gt;&lt;/contributors&gt;&lt;titles&gt;&lt;title&gt;&lt;style face="normal" font="default" charset="134" size="100%"&gt;最优生产函数理论——从新古典经济学向新结构经济学的范式转换&lt;/style&gt;&lt;/title&gt;&lt;secondary-title&gt;&lt;style face="normal" font="default" charset="134" size="100%"&gt;经济评论&lt;/style&gt;&lt;/secondary-title&gt;&lt;/titles&gt;&lt;periodical&gt;&lt;full-title&gt;经济评论&lt;/full-title&gt;&lt;/periodical&gt;&lt;pages&gt;3-46&lt;/pages&gt;&lt;number&gt;01&lt;/number&gt;&lt;keywords&gt;&lt;keyword&gt;新古典经济学&lt;/keyword&gt;&lt;keyword&gt;新结构经济学&lt;/keyword&gt;&lt;keyword&gt;马克思政治经济学&lt;/keyword&gt;&lt;keyword&gt;最优生产函数&lt;/keyword&gt;&lt;/keywords&gt;&lt;dates&gt;&lt;year&gt;2018&lt;/year&gt;&lt;/dates&gt;&lt;urls&gt;&lt;/urls&gt;&lt;/record&gt;&lt;/Cite&gt;&lt;/EndNote&gt;</w:instrText>
      </w:r>
      <w:r>
        <w:fldChar w:fldCharType="separate"/>
      </w:r>
      <w:r>
        <w:rPr>
          <w:rFonts w:hint="eastAsia"/>
        </w:rPr>
        <w:t>(付才辉, 2018)</w:t>
      </w:r>
      <w:r>
        <w:fldChar w:fldCharType="end"/>
      </w:r>
      <w:r>
        <w:rPr>
          <w:rFonts w:hint="eastAsia"/>
        </w:rPr>
        <w:t>。1937年凯恩斯发表《就业</w:t>
      </w:r>
      <w:r>
        <w:rPr>
          <w:rFonts w:hint="eastAsia" w:ascii="微软雅黑" w:hAnsi="微软雅黑" w:eastAsia="微软雅黑" w:cs="微软雅黑"/>
        </w:rPr>
        <w:t>、</w:t>
      </w:r>
      <w:r>
        <w:rPr>
          <w:rFonts w:hint="eastAsia"/>
        </w:rPr>
        <w:t>利息与货币通论》，认为自由市场经济能自身实现最优化发展是一种理想情况，现实经济活动由于工资粘性，市场经济主体信息不完备和不够理性等原因不能自身实现最优化发展，将出现劳动力失业。政府应该提高社会支出，提高社会需求以降低失业率</w:t>
      </w:r>
      <w:r>
        <w:fldChar w:fldCharType="begin"/>
      </w:r>
      <w:r>
        <w:instrText xml:space="preserve"> ADDIN EN.CITE &lt;EndNote&gt;&lt;Cite&gt;&lt;Author&gt;Keynes&lt;/Author&gt;&lt;Year&gt;1937&lt;/Year&gt;&lt;RecNum&gt;952&lt;/RecNum&gt;&lt;DisplayText&gt;(Keynes, 1937)&lt;/DisplayText&gt;&lt;record&gt;&lt;rec-number&gt;952&lt;/rec-number&gt;&lt;foreign-keys&gt;&lt;key app="EN" db-id="dfw50pzpwrep2aeerx4v2xdyaa5vzeftr0xv" timestamp="1674197990"&gt;952&lt;/key&gt;&lt;/foreign-keys&gt;&lt;ref-type name="Journal Article"&gt;17&lt;/ref-type&gt;&lt;contributors&gt;&lt;authors&gt;&lt;author&gt;Keynes, John Maynard&lt;/author&gt;&lt;/authors&gt;&lt;/contributors&gt;&lt;titles&gt;&lt;title&gt;The general theory of employment&lt;/title&gt;&lt;secondary-title&gt;The quarterly journal of economics&lt;/secondary-title&gt;&lt;/titles&gt;&lt;periodical&gt;&lt;full-title&gt;The quarterly journal of economics&lt;/full-title&gt;&lt;/periodical&gt;&lt;pages&gt;209-223&lt;/pages&gt;&lt;volume&gt;51&lt;/volume&gt;&lt;number&gt;2&lt;/number&gt;&lt;dates&gt;&lt;year&gt;1937&lt;/year&gt;&lt;/dates&gt;&lt;publisher&gt;MIT press&lt;/publisher&gt;&lt;isbn&gt;1531-4650&lt;/isbn&gt;&lt;urls&gt;&lt;/urls&gt;&lt;/record&gt;&lt;/Cite&gt;&lt;/EndNote&gt;</w:instrText>
      </w:r>
      <w:r>
        <w:fldChar w:fldCharType="separate"/>
      </w:r>
      <w:r>
        <w:t>(Keynes, 1937)</w:t>
      </w:r>
      <w:r>
        <w:fldChar w:fldCharType="end"/>
      </w:r>
      <w:r>
        <w:rPr>
          <w:rFonts w:hint="eastAsia"/>
        </w:rPr>
        <w:t>。凯恩斯没有构建关于市场经济的数学模型。1937年希克斯发表《凯恩斯与经典经济学；一种解读》，认为投资（储蓄），消费，货币供应量，社会产出，利率等变量之间存在互相影响的关系，并且存在一个优化稳定均衡点。具体来说，投资与利率关系曲线，货币供应量与利率关系曲线，这两条曲线的交叉点是优化稳定均衡利率点，由优化稳定均衡利率点可以推导出优化稳定均衡的社会产出</w:t>
      </w:r>
      <w:r>
        <w:fldChar w:fldCharType="begin"/>
      </w:r>
      <w:r>
        <w:instrText xml:space="preserve"> ADDIN EN.CITE &lt;EndNote&gt;&lt;Cite&gt;&lt;Author&gt;Hicks&lt;/Author&gt;&lt;Year&gt;1937&lt;/Year&gt;&lt;RecNum&gt;966&lt;/RecNum&gt;&lt;DisplayText&gt;(Hicks, 1937)&lt;/DisplayText&gt;&lt;record&gt;&lt;rec-number&gt;966&lt;/rec-number&gt;&lt;foreign-keys&gt;&lt;key app="EN" db-id="dfw50pzpwrep2aeerx4v2xdyaa5vzeftr0xv" timestamp="1675664810"&gt;966&lt;/key&gt;&lt;/foreign-keys&gt;&lt;ref-type name="Journal Article"&gt;17&lt;/ref-type&gt;&lt;contributors&gt;&lt;authors&gt;&lt;author&gt;Hicks, John R.&lt;/author&gt;&lt;/authors&gt;&lt;/contributors&gt;&lt;titles&gt;&lt;title&gt;Mr. Keynes and the&amp;quot; classics&amp;quot;; a suggested interpretation&lt;/title&gt;&lt;secondary-title&gt;Econometrica: journal of the Econometric Society&lt;/secondary-title&gt;&lt;/titles&gt;&lt;periodical&gt;&lt;full-title&gt;Econometrica: Journal of the Econometric Society&lt;/full-title&gt;&lt;/periodical&gt;&lt;pages&gt;147-159&lt;/pages&gt;&lt;dates&gt;&lt;year&gt;1937&lt;/year&gt;&lt;/dates&gt;&lt;publisher&gt;JSTOR&lt;/publisher&gt;&lt;isbn&gt;0012-9682&lt;/isbn&gt;&lt;urls&gt;&lt;/urls&gt;&lt;/record&gt;&lt;/Cite&gt;&lt;/EndNote&gt;</w:instrText>
      </w:r>
      <w:r>
        <w:fldChar w:fldCharType="separate"/>
      </w:r>
      <w:r>
        <w:t>(Hicks, 1937)</w:t>
      </w:r>
      <w:r>
        <w:fldChar w:fldCharType="end"/>
      </w:r>
      <w:r>
        <w:rPr>
          <w:rFonts w:hint="eastAsia"/>
        </w:rPr>
        <w:t>。希克斯的上述两条关系曲线被认为是凯恩斯学派的</w:t>
      </w:r>
      <w:r>
        <w:rPr>
          <w:rFonts w:hint="default"/>
        </w:rPr>
        <w:t>基础</w:t>
      </w:r>
      <w:r>
        <w:rPr>
          <w:rFonts w:hint="eastAsia"/>
        </w:rPr>
        <w:t>数学模型，以这两条关系曲线为</w:t>
      </w:r>
      <w:r>
        <w:rPr>
          <w:rFonts w:hint="default"/>
        </w:rPr>
        <w:t>逻辑前提</w:t>
      </w:r>
      <w:r>
        <w:rPr>
          <w:rFonts w:hint="eastAsia"/>
        </w:rPr>
        <w:t>的</w:t>
      </w:r>
      <w:r>
        <w:rPr>
          <w:rFonts w:hint="default"/>
        </w:rPr>
        <w:t>市场</w:t>
      </w:r>
      <w:r>
        <w:rPr>
          <w:rFonts w:hint="eastAsia"/>
        </w:rPr>
        <w:t>经济理论被称为凯恩斯学派。1954年阿罗-德布鲁构建了一个数学抽象意义上存在一般均衡即商品交换竞争性均衡，商品生产竞争性均衡和商品消费时间优化路径的自由市场经济体。其商品交换存在竞争性均衡的前提条件是被交换的商品数量是有限的，商品生产存在竞争性均衡的前提条件是每一种商品的生产都符合封闭凸性子集的要求，商品效用消费存在效用优化的前提条件是每个消费者获得的商品满足凸性子集的条件</w:t>
      </w:r>
      <w:r>
        <w:fldChar w:fldCharType="begin"/>
      </w:r>
      <w:r>
        <w:instrText xml:space="preserve"> ADDIN EN.CITE &lt;EndNote&gt;&lt;Cite&gt;&lt;Author&gt;Arrow&lt;/Author&gt;&lt;Year&gt;1954&lt;/Year&gt;&lt;RecNum&gt;942&lt;/RecNum&gt;&lt;DisplayText&gt;(Kenneth J. Arrow &amp;amp; Debreu, 1954)&lt;/DisplayText&gt;&lt;record&gt;&lt;rec-number&gt;942&lt;/rec-number&gt;&lt;foreign-keys&gt;&lt;key app="EN" db-id="dfw50pzpwrep2aeerx4v2xdyaa5vzeftr0xv" timestamp="1674197497"&gt;942&lt;/key&gt;&lt;/foreign-keys&gt;&lt;ref-type name="Journal Article"&gt;17&lt;/ref-type&gt;&lt;contributors&gt;&lt;authors&gt;&lt;author&gt;Arrow, Kenneth J.&lt;/author&gt;&lt;author&gt;Debreu, Gerard&lt;/author&gt;&lt;/authors&gt;&lt;/contributors&gt;&lt;titles&gt;&lt;title&gt;Existence of an equilibrium for a competitive economy&lt;/title&gt;&lt;secondary-title&gt;Econometrica: Journal of the Econometric Society&lt;/secondary-title&gt;&lt;/titles&gt;&lt;periodical&gt;&lt;full-title&gt;Econometrica: Journal of the Econometric Society&lt;/full-title&gt;&lt;/periodical&gt;&lt;pages&gt;265-290&lt;/pages&gt;&lt;dates&gt;&lt;year&gt;1954&lt;/year&gt;&lt;/dates&gt;&lt;publisher&gt;JSTOR&lt;/publisher&gt;&lt;isbn&gt;0012-9682&lt;/isbn&gt;&lt;urls&gt;&lt;/urls&gt;&lt;/record&gt;&lt;/Cite&gt;&lt;/EndNote&gt;</w:instrText>
      </w:r>
      <w:r>
        <w:fldChar w:fldCharType="separate"/>
      </w:r>
      <w:r>
        <w:t>( Arrow &amp; Debreu, 1954)</w:t>
      </w:r>
      <w:r>
        <w:fldChar w:fldCharType="end"/>
      </w:r>
      <w:r>
        <w:rPr>
          <w:rFonts w:hint="eastAsia"/>
        </w:rPr>
        <w:t>。</w:t>
      </w:r>
      <w:r>
        <w:rPr>
          <w:rFonts w:hint="eastAsia"/>
          <w:lang w:val="en-US" w:eastAsia="zh-CN"/>
        </w:rPr>
        <w:t>该模型</w:t>
      </w:r>
      <w:r>
        <w:rPr>
          <w:rFonts w:hint="default"/>
          <w:lang w:eastAsia="zh-CN"/>
        </w:rPr>
        <w:t>被</w:t>
      </w:r>
      <w:r>
        <w:rPr>
          <w:rFonts w:hint="eastAsia"/>
          <w:lang w:val="en-US" w:eastAsia="zh-CN"/>
        </w:rPr>
        <w:t>称</w:t>
      </w:r>
      <w:r>
        <w:rPr>
          <w:rFonts w:hint="default"/>
          <w:lang w:eastAsia="zh-CN"/>
        </w:rPr>
        <w:t>为</w:t>
      </w:r>
      <w:r>
        <w:rPr>
          <w:rFonts w:hint="eastAsia"/>
          <w:lang w:val="en-US" w:eastAsia="zh-CN"/>
        </w:rPr>
        <w:t>一般均衡模型，是新古典学派微观</w:t>
      </w:r>
      <w:r>
        <w:rPr>
          <w:rFonts w:hint="default"/>
          <w:lang w:eastAsia="zh-CN"/>
        </w:rPr>
        <w:t>基础</w:t>
      </w:r>
      <w:r>
        <w:rPr>
          <w:rFonts w:hint="eastAsia"/>
          <w:lang w:val="en-US" w:eastAsia="zh-CN"/>
        </w:rPr>
        <w:t>数学模型。</w:t>
      </w:r>
      <w:r>
        <w:rPr>
          <w:rFonts w:hint="eastAsia"/>
        </w:rPr>
        <w:t>1956年索洛用资本积累与劳动力的比例为核心变量阐述经济活动达到竞争性优化稳定状态的具体机制。设K为资本积累，L为劳动力，r=K/L。当r对时间的一阶求导等于零时，即当</w:t>
      </w:r>
      <m:oMath>
        <m:f>
          <m:fPr>
            <m:type m:val="lin"/>
            <m:ctrlPr>
              <w:rPr>
                <w:rFonts w:hint="eastAsia" w:ascii="Cambria Math" w:hAnsi="Cambria Math" w:cs="宋体"/>
                <w:i/>
              </w:rPr>
            </m:ctrlPr>
          </m:fPr>
          <m:num>
            <m:r>
              <m:rPr/>
              <w:rPr>
                <w:rFonts w:hint="eastAsia" w:ascii="Cambria Math" w:hAnsi="Cambria Math" w:cs="宋体"/>
              </w:rPr>
              <m:t>dr</m:t>
            </m:r>
            <m:ctrlPr>
              <w:rPr>
                <w:rFonts w:hint="eastAsia" w:ascii="Cambria Math" w:hAnsi="Cambria Math" w:cs="宋体"/>
                <w:i/>
              </w:rPr>
            </m:ctrlPr>
          </m:num>
          <m:den>
            <m:r>
              <m:rPr/>
              <w:rPr>
                <w:rFonts w:hint="eastAsia" w:ascii="Cambria Math" w:hAnsi="Cambria Math" w:cs="宋体"/>
              </w:rPr>
              <m:t>dt=0</m:t>
            </m:r>
            <m:ctrlPr>
              <w:rPr>
                <w:rFonts w:hint="eastAsia" w:ascii="Cambria Math" w:hAnsi="Cambria Math" w:cs="宋体"/>
                <w:i/>
              </w:rPr>
            </m:ctrlPr>
          </m:den>
        </m:f>
      </m:oMath>
      <w:r>
        <w:rPr>
          <w:rFonts w:hint="eastAsia"/>
        </w:rPr>
        <w:t>时，资本积累与劳动力的比例为r*。索洛模型成立的前提是：r*为均衡稳定点。当r&lt;r*时，市场调节将会使r增加，即资本积累K会增加直至r=r*；当r&gt;r*时，市场调节将会使r减少，即资本积累K会减少直至r=r*。索洛模型认为在r*均衡稳定点，自由市场竞争将实现劳动力全就业和资本积累完全使用</w:t>
      </w:r>
      <w:r>
        <w:fldChar w:fldCharType="begin"/>
      </w:r>
      <w:r>
        <w:instrText xml:space="preserve"> ADDIN EN.CITE &lt;EndNote&gt;&lt;Cite&gt;&lt;Author&gt;Solow&lt;/Author&gt;&lt;Year&gt;1956&lt;/Year&gt;&lt;RecNum&gt;958&lt;/RecNum&gt;&lt;DisplayText&gt;(Solow, 1956)&lt;/DisplayText&gt;&lt;record&gt;&lt;rec-number&gt;958&lt;/rec-number&gt;&lt;foreign-keys&gt;&lt;key app="EN" db-id="dfw50pzpwrep2aeerx4v2xdyaa5vzeftr0xv" timestamp="1674198133"&gt;958&lt;/key&gt;&lt;/foreign-keys&gt;&lt;ref-type name="Journal Article"&gt;17&lt;/ref-type&gt;&lt;contributors&gt;&lt;authors&gt;&lt;author&gt;Solow, Robert M.&lt;/author&gt;&lt;/authors&gt;&lt;/contributors&gt;&lt;titles&gt;&lt;title&gt;A contribution to the theory of economic growth&lt;/title&gt;&lt;secondary-title&gt;The quarterly journal of economics&lt;/secondary-title&gt;&lt;/titles&gt;&lt;periodical&gt;&lt;full-title&gt;The quarterly journal of economics&lt;/full-title&gt;&lt;/periodical&gt;&lt;pages&gt;65-94&lt;/pages&gt;&lt;volume&gt;70&lt;/volume&gt;&lt;number&gt;1&lt;/number&gt;&lt;dates&gt;&lt;year&gt;1956&lt;/year&gt;&lt;/dates&gt;&lt;publisher&gt;MIT press&lt;/publisher&gt;&lt;isbn&gt;1531-4650&lt;/isbn&gt;&lt;urls&gt;&lt;/urls&gt;&lt;/record&gt;&lt;/Cite&gt;&lt;/EndNote&gt;</w:instrText>
      </w:r>
      <w:r>
        <w:fldChar w:fldCharType="separate"/>
      </w:r>
      <w:r>
        <w:t>(Solow, 1956)</w:t>
      </w:r>
      <w:r>
        <w:fldChar w:fldCharType="end"/>
      </w:r>
      <w:r>
        <w:rPr>
          <w:rFonts w:hint="eastAsia"/>
        </w:rPr>
        <w:t>。</w:t>
      </w:r>
      <w:r>
        <w:rPr>
          <w:rFonts w:hint="default"/>
        </w:rPr>
        <w:t>该</w:t>
      </w:r>
      <w:r>
        <w:rPr>
          <w:rFonts w:hint="eastAsia"/>
          <w:lang w:val="en-US" w:eastAsia="zh-CN"/>
        </w:rPr>
        <w:t>索洛模型也称索洛经济增长模型，是新古典学派宏观</w:t>
      </w:r>
      <w:r>
        <w:rPr>
          <w:rFonts w:hint="default"/>
          <w:lang w:eastAsia="zh-CN"/>
        </w:rPr>
        <w:t>基础</w:t>
      </w:r>
      <w:r>
        <w:rPr>
          <w:rFonts w:hint="eastAsia"/>
          <w:lang w:val="en-US" w:eastAsia="zh-CN"/>
        </w:rPr>
        <w:t>数学模型。</w:t>
      </w:r>
      <w:r>
        <w:rPr>
          <w:rFonts w:hint="eastAsia"/>
        </w:rPr>
        <w:t>1979年克鲁格曼发表《国际收支平衡危机模型》,隐含汇率存在竞争性均衡</w:t>
      </w:r>
      <w:r>
        <w:fldChar w:fldCharType="begin"/>
      </w:r>
      <w:r>
        <w:instrText xml:space="preserve"> ADDIN EN.CITE &lt;EndNote&gt;&lt;Cite&gt;&lt;Author&gt;Krugman&lt;/Author&gt;&lt;Year&gt;1979&lt;/Year&gt;&lt;RecNum&gt;953&lt;/RecNum&gt;&lt;DisplayText&gt;(Krugman, 1979)&lt;/DisplayText&gt;&lt;record&gt;&lt;rec-number&gt;953&lt;/rec-number&gt;&lt;foreign-keys&gt;&lt;key app="EN" db-id="dfw50pzpwrep2aeerx4v2xdyaa5vzeftr0xv" timestamp="1674198020"&gt;953&lt;/key&gt;&lt;/foreign-keys&gt;&lt;ref-type name="Journal Article"&gt;17&lt;/ref-type&gt;&lt;contributors&gt;&lt;authors&gt;&lt;author&gt;Krugman, Paul&lt;/author&gt;&lt;/authors&gt;&lt;/contributors&gt;&lt;titles&gt;&lt;title&gt;A model of balance-of-payments crises&lt;/title&gt;&lt;secondary-title&gt;Journal of money, credit and banking&lt;/secondary-title&gt;&lt;/titles&gt;&lt;periodical&gt;&lt;full-title&gt;Journal of money, credit and banking&lt;/full-title&gt;&lt;/periodical&gt;&lt;pages&gt;311-325&lt;/pages&gt;&lt;volume&gt;11&lt;/volume&gt;&lt;number&gt;3&lt;/number&gt;&lt;dates&gt;&lt;year&gt;1979&lt;/year&gt;&lt;/dates&gt;&lt;publisher&gt;JSTOR&lt;/publisher&gt;&lt;isbn&gt;0022-2879&lt;/isbn&gt;&lt;urls&gt;&lt;/urls&gt;&lt;/record&gt;&lt;/Cite&gt;&lt;/EndNote&gt;</w:instrText>
      </w:r>
      <w:r>
        <w:fldChar w:fldCharType="separate"/>
      </w:r>
      <w:r>
        <w:t>(Krugman, 1979)</w:t>
      </w:r>
      <w:r>
        <w:fldChar w:fldCharType="end"/>
      </w:r>
      <w:r>
        <w:rPr>
          <w:rFonts w:hint="eastAsia"/>
        </w:rPr>
        <w:t>。</w:t>
      </w:r>
      <w:r>
        <w:rPr>
          <w:rFonts w:hint="eastAsia"/>
          <w:lang w:val="en-US" w:eastAsia="zh-CN"/>
        </w:rPr>
        <w:t>卢卡斯在索洛</w:t>
      </w:r>
      <w:r>
        <w:rPr>
          <w:rFonts w:hint="default"/>
          <w:lang w:eastAsia="zh-CN"/>
        </w:rPr>
        <w:t>经济增长</w:t>
      </w:r>
      <w:r>
        <w:rPr>
          <w:rFonts w:hint="eastAsia"/>
          <w:lang w:val="en-US" w:eastAsia="zh-CN"/>
        </w:rPr>
        <w:t>模型的基础上提出了商品消费的时间优化路径（Lucas Jr.，1975,1988）.</w:t>
      </w:r>
      <w:r>
        <w:rPr>
          <w:rFonts w:hint="eastAsia"/>
        </w:rPr>
        <w:t>罗默在索洛</w:t>
      </w:r>
      <w:r>
        <w:rPr>
          <w:rFonts w:hint="default"/>
        </w:rPr>
        <w:t>经济增长</w:t>
      </w:r>
      <w:r>
        <w:rPr>
          <w:rFonts w:hint="eastAsia"/>
        </w:rPr>
        <w:t>模型的基础上构建了知识是经济增长内生变量的数学模型，解释了美国等发达国家经济持续增长的现象，也解释了发达国家与发展中国家经济差距越来越大的现象</w:t>
      </w:r>
      <w:r>
        <w:fldChar w:fldCharType="begin"/>
      </w:r>
      <w:r>
        <w:instrText xml:space="preserve"> ADDIN EN.CITE &lt;EndNote&gt;&lt;Cite&gt;&lt;Author&gt;Romer&lt;/Author&gt;&lt;Year&gt;1990&lt;/Year&gt;&lt;RecNum&gt;957&lt;/RecNum&gt;&lt;DisplayText&gt;(Romer, 1990)&lt;/DisplayText&gt;&lt;record&gt;&lt;rec-number&gt;957&lt;/rec-number&gt;&lt;foreign-keys&gt;&lt;key app="EN" db-id="dfw50pzpwrep2aeerx4v2xdyaa5vzeftr0xv" timestamp="1674198112"&gt;957&lt;/key&gt;&lt;/foreign-keys&gt;&lt;ref-type name="Journal Article"&gt;17&lt;/ref-type&gt;&lt;contributors&gt;&lt;authors&gt;&lt;author&gt;Romer, Paul M.&lt;/author&gt;&lt;/authors&gt;&lt;/contributors&gt;&lt;titles&gt;&lt;title&gt;Endogenous technological change&lt;/title&gt;&lt;secondary-title&gt;Journal of political Economy&lt;/secondary-title&gt;&lt;/titles&gt;&lt;periodical&gt;&lt;full-title&gt;Journal of political economy&lt;/full-title&gt;&lt;/periodical&gt;&lt;pages&gt;S71-S102&lt;/pages&gt;&lt;volume&gt;98&lt;/volume&gt;&lt;number&gt;5, Part 2&lt;/number&gt;&lt;dates&gt;&lt;year&gt;1990&lt;/year&gt;&lt;/dates&gt;&lt;publisher&gt;The University of Chicago Press&lt;/publisher&gt;&lt;isbn&gt;0022-3808&lt;/isbn&gt;&lt;urls&gt;&lt;/urls&gt;&lt;/record&gt;&lt;/Cite&gt;&lt;/EndNote&gt;</w:instrText>
      </w:r>
      <w:r>
        <w:fldChar w:fldCharType="separate"/>
      </w:r>
      <w:r>
        <w:t>(Romer, 1990)</w:t>
      </w:r>
      <w:r>
        <w:fldChar w:fldCharType="end"/>
      </w:r>
      <w:r>
        <w:rPr>
          <w:rFonts w:hint="eastAsia"/>
        </w:rPr>
        <w:t>。2021年鲍尔和曼昆在索洛</w:t>
      </w:r>
      <w:r>
        <w:rPr>
          <w:rFonts w:hint="default"/>
        </w:rPr>
        <w:t>经济增长</w:t>
      </w:r>
      <w:r>
        <w:rPr>
          <w:rFonts w:hint="eastAsia"/>
        </w:rPr>
        <w:t>模型的基础上提出了优化的新古典学派经济理论模型，提出了企业市场力的假设，解释了美国等高科技企业资本回报率高于资本市场利率的现象</w:t>
      </w:r>
      <w:r>
        <w:fldChar w:fldCharType="begin"/>
      </w:r>
      <w:r>
        <w:instrText xml:space="preserve"> ADDIN EN.CITE &lt;EndNote&gt;&lt;Cite&gt;&lt;Author&gt;Ball&lt;/Author&gt;&lt;Year&gt;2021&lt;/Year&gt;&lt;RecNum&gt;944&lt;/RecNum&gt;&lt;DisplayText&gt;(Ball &amp;amp; Mankiw, 2021)&lt;/DisplayText&gt;&lt;record&gt;&lt;rec-number&gt;944&lt;/rec-number&gt;&lt;foreign-keys&gt;&lt;key app="EN" db-id="dfw50pzpwrep2aeerx4v2xdyaa5vzeftr0xv" timestamp="1674197547"&gt;944&lt;/key&gt;&lt;/foreign-keys&gt;&lt;ref-type name="Report"&gt;27&lt;/ref-type&gt;&lt;contributors&gt;&lt;authors&gt;&lt;author&gt;Ball, Laurence M.&lt;/author&gt;&lt;author&gt;Mankiw, N. Gregory&lt;/author&gt;&lt;/authors&gt;&lt;/contributors&gt;&lt;titles&gt;&lt;title&gt;Market power in neoclassical growth models&lt;/title&gt;&lt;/titles&gt;&lt;dates&gt;&lt;year&gt;2021&lt;/year&gt;&lt;/dates&gt;&lt;publisher&gt;National Bureau of Economic Research&lt;/publisher&gt;&lt;urls&gt;&lt;/urls&gt;&lt;/record&gt;&lt;/Cite&gt;&lt;/EndNote&gt;</w:instrText>
      </w:r>
      <w:r>
        <w:fldChar w:fldCharType="separate"/>
      </w:r>
      <w:r>
        <w:t>(Ball &amp; Mankiw, 2021)</w:t>
      </w:r>
      <w:r>
        <w:fldChar w:fldCharType="end"/>
      </w:r>
      <w:r>
        <w:rPr>
          <w:rFonts w:hint="eastAsia"/>
        </w:rPr>
        <w:t>。</w:t>
      </w:r>
    </w:p>
    <w:p>
      <w:pPr>
        <w:rPr>
          <w:rFonts w:hint="default" w:eastAsia="宋体"/>
          <w:lang w:val="en-US" w:eastAsia="zh-CN"/>
        </w:rPr>
      </w:pPr>
      <w:r>
        <w:rPr>
          <w:rFonts w:hint="eastAsia"/>
          <w:lang w:val="en-US" w:eastAsia="zh-CN"/>
        </w:rPr>
        <w:t>新古典学派和凯恩斯学派有很多经济理论数学模型。但就完整和成熟而言，本文认为新古典学派的微观基础数学模型为</w:t>
      </w:r>
      <w:r>
        <w:rPr>
          <w:rFonts w:hint="eastAsia"/>
        </w:rPr>
        <w:t>阿罗-德布鲁一般均衡模型</w:t>
      </w:r>
      <w:r>
        <w:rPr>
          <w:rFonts w:hint="default"/>
        </w:rPr>
        <w:t>，其关于市场经济的基本规律假设是自由市场经济</w:t>
      </w:r>
      <w:r>
        <w:rPr>
          <w:rFonts w:hint="eastAsia"/>
        </w:rPr>
        <w:t>存在商品交换竞争性均衡，商品生产竞争性均衡和商品消费时间优化路径</w:t>
      </w:r>
      <w:r>
        <w:rPr>
          <w:rFonts w:hint="default"/>
        </w:rPr>
        <w:t>；新古典学派</w:t>
      </w:r>
      <w:r>
        <w:rPr>
          <w:rFonts w:hint="eastAsia"/>
          <w:lang w:val="en-US" w:eastAsia="zh-CN"/>
        </w:rPr>
        <w:t>宏观基础数学模型是</w:t>
      </w:r>
      <w:r>
        <w:rPr>
          <w:rFonts w:hint="eastAsia"/>
        </w:rPr>
        <w:t>索洛经济增长模型</w:t>
      </w:r>
      <w:r>
        <w:rPr>
          <w:rFonts w:hint="default"/>
        </w:rPr>
        <w:t>，其关于市场经济的宏观基本规律假设是中长期</w:t>
      </w:r>
      <w:r>
        <w:rPr>
          <w:rFonts w:hint="eastAsia"/>
        </w:rPr>
        <w:t>自由市场竞争将实现劳动力全就业和资本积累完全使用</w:t>
      </w:r>
      <w:r>
        <w:rPr>
          <w:rFonts w:hint="eastAsia"/>
          <w:lang w:eastAsia="zh-CN"/>
        </w:rPr>
        <w:t>；</w:t>
      </w:r>
      <w:r>
        <w:rPr>
          <w:rFonts w:hint="eastAsia"/>
          <w:lang w:val="en-US" w:eastAsia="zh-CN"/>
        </w:rPr>
        <w:t>凯恩斯学派的宏观基础数学模型是</w:t>
      </w:r>
      <w:r>
        <w:rPr>
          <w:rFonts w:hint="eastAsia"/>
        </w:rPr>
        <w:t>希克斯IS-LM模型</w:t>
      </w:r>
      <w:r>
        <w:rPr>
          <w:rFonts w:hint="default"/>
        </w:rPr>
        <w:t>，其关于市场经济的宏观基本规律假设是</w:t>
      </w:r>
      <w:r>
        <w:rPr>
          <w:rFonts w:hint="eastAsia"/>
        </w:rPr>
        <w:t>这两条曲线的交叉点是优化稳定均衡利率点，由优化稳定均衡利率点可以推导出优化稳定均衡的社会产出</w:t>
      </w:r>
      <w:r>
        <w:rPr>
          <w:rFonts w:hint="default"/>
        </w:rPr>
        <w:t>；</w:t>
      </w:r>
      <w:r>
        <w:rPr>
          <w:rFonts w:hint="eastAsia"/>
          <w:lang w:val="en-US" w:eastAsia="zh-CN"/>
        </w:rPr>
        <w:t>凯恩斯学派没有比较完整和成熟的微观基础数学模型。</w:t>
      </w:r>
    </w:p>
    <w:p>
      <w:pPr>
        <w:numPr>
          <w:ilvl w:val="0"/>
          <w:numId w:val="1"/>
        </w:numPr>
      </w:pPr>
      <w:r>
        <w:rPr>
          <w:rFonts w:hint="eastAsia"/>
          <w:lang w:val="en-US" w:eastAsia="zh-CN"/>
        </w:rPr>
        <w:t>新古典和凯恩斯学派</w:t>
      </w:r>
      <w:r>
        <w:rPr>
          <w:rFonts w:hint="default"/>
          <w:lang w:eastAsia="zh-CN"/>
        </w:rPr>
        <w:t>经济理论数学模型</w:t>
      </w:r>
      <w:r>
        <w:rPr>
          <w:rFonts w:hint="eastAsia"/>
          <w:lang w:val="en-US" w:eastAsia="zh-CN"/>
        </w:rPr>
        <w:t>若干基本规律假设过强</w:t>
      </w:r>
    </w:p>
    <w:p>
      <w:r>
        <w:rPr>
          <w:rFonts w:hint="default"/>
          <w:lang w:eastAsia="zh-CN"/>
        </w:rPr>
        <w:t>经济思想一般不形成形式逻辑体系，因而没有关于市场经济的基本规律假设。经济理论数学模型市以数学为工具表达的形式逻辑体系，有关于市场经济的基本规律假设作为其形式逻辑前提。</w:t>
      </w:r>
      <w:r>
        <w:rPr>
          <w:rFonts w:hint="eastAsia"/>
          <w:lang w:val="en-US" w:eastAsia="zh-CN"/>
        </w:rPr>
        <w:t>前面讨论了新古典学派和凯恩斯学派</w:t>
      </w:r>
      <w:r>
        <w:rPr>
          <w:rFonts w:hint="default"/>
          <w:lang w:eastAsia="zh-CN"/>
        </w:rPr>
        <w:t>微观和宏观经济理论数学模型</w:t>
      </w:r>
      <w:r>
        <w:rPr>
          <w:rFonts w:hint="eastAsia"/>
          <w:lang w:val="en-US" w:eastAsia="zh-CN"/>
        </w:rPr>
        <w:t>关于市场经济的基本规律假，下面将讨论这些基本规律假设并指出若干基本规律假设过强</w:t>
      </w:r>
      <w:r>
        <w:rPr>
          <w:rFonts w:hint="eastAsia"/>
        </w:rPr>
        <w:t>。</w:t>
      </w:r>
    </w:p>
    <w:p>
      <w:pPr>
        <w:pStyle w:val="31"/>
        <w:numPr>
          <w:ilvl w:val="0"/>
          <w:numId w:val="2"/>
        </w:numPr>
        <w:ind w:firstLineChars="0"/>
      </w:pPr>
      <w:r>
        <w:t>非投资品商品交换存在优化竞争性均衡</w:t>
      </w:r>
    </w:p>
    <w:p>
      <w:r>
        <w:rPr>
          <w:rFonts w:hint="eastAsia"/>
        </w:rPr>
        <w:t>本文定义被交换的次数为有限</w:t>
      </w:r>
      <w:r>
        <w:t>次</w:t>
      </w:r>
      <w:r>
        <w:rPr>
          <w:rFonts w:hint="eastAsia"/>
        </w:rPr>
        <w:t>的商品为</w:t>
      </w:r>
      <w:r>
        <w:t>非投资品商品</w:t>
      </w:r>
      <w:r>
        <w:rPr>
          <w:rFonts w:hint="eastAsia"/>
        </w:rPr>
        <w:t>，</w:t>
      </w:r>
      <w:r>
        <w:t>被交换的次数为无限次的商品为投资品</w:t>
      </w:r>
      <w:r>
        <w:rPr>
          <w:rFonts w:hint="eastAsia"/>
        </w:rPr>
        <w:t>商品</w:t>
      </w:r>
      <w:r>
        <w:t>。</w:t>
      </w:r>
      <w:r>
        <w:rPr>
          <w:rFonts w:hint="eastAsia"/>
        </w:rPr>
        <w:t>用数学形式表达为：</w:t>
      </w:r>
      <w:r>
        <w:rPr>
          <w:rFonts w:ascii="Cambria Math" w:hAnsi="Cambria Math" w:cs="Cambria Math"/>
          <w:szCs w:val="21"/>
        </w:rPr>
        <w:t>非</w:t>
      </w:r>
      <w:r>
        <w:rPr>
          <w:rFonts w:hint="eastAsia" w:ascii="Cambria Math" w:hAnsi="Cambria Math" w:cs="Cambria Math"/>
          <w:szCs w:val="21"/>
        </w:rPr>
        <w:t>投资品商品</w:t>
      </w:r>
      <m:oMath>
        <m:r>
          <m:rPr>
            <m:sty m:val="p"/>
          </m:rPr>
          <w:rPr>
            <w:rFonts w:ascii="Cambria Math" w:hAnsi="Cambria Math"/>
          </w:rPr>
          <m:t>∪</m:t>
        </m:r>
      </m:oMath>
      <w:r>
        <w:t>投资品商品=商品</w:t>
      </w:r>
      <w:r>
        <w:rPr>
          <w:rFonts w:hint="eastAsia"/>
        </w:rPr>
        <w:t>，</w:t>
      </w:r>
      <w:r>
        <w:t>非投资品商品</w:t>
      </w:r>
      <m:oMath>
        <m:r>
          <m:rPr>
            <m:sty m:val="p"/>
          </m:rPr>
          <w:rPr>
            <w:rFonts w:ascii="Cambria Math" w:hAnsi="Cambria Math"/>
          </w:rPr>
          <m:t>∩</m:t>
        </m:r>
      </m:oMath>
      <w:r>
        <w:t>投资品商品=0</w:t>
      </w:r>
      <w:r>
        <w:rPr>
          <w:rFonts w:hint="eastAsia"/>
        </w:rPr>
        <w:t>。</w:t>
      </w:r>
    </w:p>
    <w:p>
      <w:pPr>
        <w:rPr>
          <w:rFonts w:asciiTheme="minorEastAsia" w:hAnsiTheme="minorEastAsia" w:eastAsiaTheme="minorEastAsia" w:cstheme="minorEastAsia"/>
        </w:rPr>
      </w:pPr>
      <w:r>
        <w:rPr>
          <w:rFonts w:hint="eastAsia"/>
        </w:rPr>
        <w:t>阿罗-德布鲁模型关于商品交换</w:t>
      </w:r>
      <w:r>
        <w:rPr>
          <w:rFonts w:hint="eastAsia" w:asciiTheme="minorEastAsia" w:hAnsiTheme="minorEastAsia" w:eastAsiaTheme="minorEastAsia" w:cstheme="minorEastAsia"/>
        </w:rPr>
        <w:t>存在优化竞争性均衡的前提条件</w:t>
      </w:r>
      <w:r>
        <w:rPr>
          <w:rFonts w:asciiTheme="minorEastAsia" w:hAnsiTheme="minorEastAsia" w:eastAsiaTheme="minorEastAsia" w:cstheme="minorEastAsia"/>
        </w:rPr>
        <w:t>是被</w:t>
      </w:r>
      <w:r>
        <w:rPr>
          <w:rFonts w:hint="eastAsia"/>
        </w:rPr>
        <w:t>交换的商品数量是有限的并且任一商品被交换的次数也是有限的</w:t>
      </w:r>
      <w:r>
        <w:t>，上述定义的</w:t>
      </w:r>
      <w:r>
        <w:rPr>
          <w:rFonts w:hint="eastAsia"/>
        </w:rPr>
        <w:t>非投资品</w:t>
      </w:r>
      <w:r>
        <w:t>商品</w:t>
      </w:r>
      <w:r>
        <w:rPr>
          <w:rFonts w:hint="eastAsia"/>
        </w:rPr>
        <w:t>交换</w:t>
      </w:r>
      <w:r>
        <w:t>符合这个条件</w:t>
      </w:r>
      <w:r>
        <w:rPr>
          <w:rFonts w:hint="eastAsia"/>
        </w:rPr>
        <w:t>。  本文</w:t>
      </w:r>
      <w:r>
        <w:rPr>
          <w:rFonts w:hint="eastAsia"/>
          <w:lang w:val="en-US" w:eastAsia="zh-CN"/>
        </w:rPr>
        <w:t>吸收</w:t>
      </w:r>
      <w:r>
        <w:rPr>
          <w:rFonts w:hint="eastAsia"/>
        </w:rPr>
        <w:t>阿罗-德布鲁模型</w:t>
      </w:r>
      <w:r>
        <w:rPr>
          <w:rFonts w:hint="eastAsia"/>
          <w:lang w:val="en-US" w:eastAsia="zh-CN"/>
        </w:rPr>
        <w:t>的结论，</w:t>
      </w:r>
      <w:r>
        <w:rPr>
          <w:rFonts w:hint="eastAsia" w:asciiTheme="minorEastAsia" w:hAnsiTheme="minorEastAsia" w:eastAsiaTheme="minorEastAsia" w:cstheme="minorEastAsia"/>
        </w:rPr>
        <w:t>认为非投资品商品交换满足</w:t>
      </w:r>
      <w:r>
        <w:rPr>
          <w:rFonts w:hint="eastAsia"/>
        </w:rPr>
        <w:t>阿罗-德布鲁模型关于商品交换</w:t>
      </w:r>
      <w:r>
        <w:rPr>
          <w:rFonts w:hint="eastAsia" w:asciiTheme="minorEastAsia" w:hAnsiTheme="minorEastAsia" w:eastAsiaTheme="minorEastAsia" w:cstheme="minorEastAsia"/>
        </w:rPr>
        <w:t>存在优化竞争性均衡的前提条件，存在优化竞争性均衡。</w:t>
      </w:r>
    </w:p>
    <w:p>
      <w:pPr>
        <w:pStyle w:val="31"/>
        <w:numPr>
          <w:ilvl w:val="0"/>
          <w:numId w:val="2"/>
        </w:numPr>
        <w:ind w:firstLineChars="0"/>
      </w:pPr>
      <w:r>
        <w:t>汇率等投资品</w:t>
      </w:r>
      <w:r>
        <w:rPr>
          <w:rFonts w:hint="eastAsia"/>
        </w:rPr>
        <w:t>商品交换</w:t>
      </w:r>
      <w:r>
        <w:t>存在竞争性均衡</w:t>
      </w:r>
      <w:r>
        <w:rPr>
          <w:rFonts w:hint="eastAsia"/>
        </w:rPr>
        <w:t>的</w:t>
      </w:r>
      <w:r>
        <w:rPr>
          <w:rFonts w:hint="default"/>
        </w:rPr>
        <w:t>基本规律</w:t>
      </w:r>
      <w:r>
        <w:rPr>
          <w:rFonts w:hint="eastAsia"/>
        </w:rPr>
        <w:t>假设过强</w:t>
      </w:r>
    </w:p>
    <w:p>
      <w:r>
        <w:rPr>
          <w:rFonts w:hint="eastAsia"/>
        </w:rPr>
        <w:t>阿罗-德布鲁模型</w:t>
      </w:r>
      <w:r>
        <w:rPr>
          <w:szCs w:val="21"/>
        </w:rPr>
        <w:t>关于</w:t>
      </w:r>
      <w:r>
        <w:rPr>
          <w:rFonts w:hint="eastAsia"/>
        </w:rPr>
        <w:t>商品交换存在竞争性均衡的前提条件是被交换的商品数量是有限的并且任一商品被交换的次数也是有限的，</w:t>
      </w:r>
      <w:r>
        <w:t>上述定义的投资品</w:t>
      </w:r>
      <w:r>
        <w:rPr>
          <w:rFonts w:hint="eastAsia"/>
        </w:rPr>
        <w:t>商品</w:t>
      </w:r>
      <w:r>
        <w:t>不满足这个条件，因为投资品被交换的次数是无限的</w:t>
      </w:r>
      <w:r>
        <w:rPr>
          <w:rFonts w:hint="eastAsia"/>
        </w:rPr>
        <w:t>。投资品商品交换不存在竞争性均衡的更详细阐述见附录</w:t>
      </w:r>
      <w:r>
        <w:t>1</w:t>
      </w:r>
      <w:r>
        <w:rPr>
          <w:rFonts w:hint="eastAsia"/>
        </w:rPr>
        <w:t>.</w:t>
      </w:r>
    </w:p>
    <w:p>
      <w:pPr>
        <w:rPr>
          <w:rFonts w:hint="default"/>
        </w:rPr>
      </w:pPr>
      <w:r>
        <w:rPr>
          <w:rFonts w:hint="eastAsia"/>
        </w:rPr>
        <w:t>因为投资品商品交换不存在竞争性均衡</w:t>
      </w:r>
      <w:r>
        <w:t>，</w:t>
      </w:r>
      <w:r>
        <w:rPr>
          <w:rFonts w:hint="eastAsia"/>
        </w:rPr>
        <w:t>因此本文认为</w:t>
      </w:r>
      <w:r>
        <w:t>阿罗</w:t>
      </w:r>
      <w:r>
        <w:rPr>
          <w:rFonts w:hint="eastAsia"/>
        </w:rPr>
        <w:t>-</w:t>
      </w:r>
      <w:r>
        <w:t>德布鲁关于投资品商品交换存在竞争性均衡的基本规律</w:t>
      </w:r>
      <w:r>
        <w:rPr>
          <w:rFonts w:hint="eastAsia"/>
        </w:rPr>
        <w:t>假设过</w:t>
      </w:r>
      <w:r>
        <w:t>强，克鲁格曼关于汇率存在竞争性均衡的基本规律假设过强。</w:t>
      </w:r>
    </w:p>
    <w:p>
      <w:pPr>
        <w:pStyle w:val="31"/>
        <w:numPr>
          <w:ilvl w:val="0"/>
          <w:numId w:val="2"/>
        </w:numPr>
        <w:ind w:firstLineChars="0"/>
      </w:pPr>
      <w:r>
        <w:rPr>
          <w:rFonts w:hint="eastAsia"/>
        </w:rPr>
        <w:t>商品生产存在优化竞争性均衡</w:t>
      </w:r>
      <w:r>
        <w:rPr>
          <w:rFonts w:hint="default"/>
        </w:rPr>
        <w:t>的基本规律</w:t>
      </w:r>
      <w:r>
        <w:rPr>
          <w:rFonts w:hint="eastAsia"/>
        </w:rPr>
        <w:t>假设过强</w:t>
      </w:r>
    </w:p>
    <w:p>
      <w:r>
        <w:rPr>
          <w:rFonts w:hint="eastAsia"/>
        </w:rPr>
        <w:t>关于商品生产是否存在优化存在竞争性均衡，附录2做了具体阐述。根据附录2，商品生产不存在优化竞争性均衡，因此本文认为阿罗-德布鲁关于商品生产存在优化竞争性均衡的</w:t>
      </w:r>
      <w:r>
        <w:rPr>
          <w:rFonts w:hint="default"/>
        </w:rPr>
        <w:t>基本规律</w:t>
      </w:r>
      <w:r>
        <w:rPr>
          <w:rFonts w:hint="eastAsia"/>
        </w:rPr>
        <w:t>假设过强。</w:t>
      </w:r>
    </w:p>
    <w:p>
      <w:pPr>
        <w:pStyle w:val="31"/>
        <w:numPr>
          <w:ilvl w:val="0"/>
          <w:numId w:val="2"/>
        </w:numPr>
        <w:ind w:firstLineChars="0"/>
      </w:pPr>
      <w:r>
        <w:rPr>
          <w:rFonts w:hint="eastAsia"/>
        </w:rPr>
        <w:t>市场经济均衡能实现社会劳动力全就业和社会产能全利用的</w:t>
      </w:r>
      <w:r>
        <w:rPr>
          <w:rFonts w:hint="default"/>
        </w:rPr>
        <w:t>基本规律</w:t>
      </w:r>
      <w:r>
        <w:rPr>
          <w:rFonts w:hint="eastAsia"/>
        </w:rPr>
        <w:t>假设过强</w:t>
      </w:r>
    </w:p>
    <w:p>
      <w:pPr>
        <w:ind w:firstLineChars="0"/>
      </w:pPr>
      <w:r>
        <w:rPr>
          <w:rFonts w:hint="eastAsia"/>
        </w:rPr>
        <w:t>索洛经济增长模型认为经济活动短期不能实现竞争性均衡，但经济活动在竞争均衡稳定点震荡一段时间后中长期将实现竞争性均衡，即中长期自由市场经济能实现劳动力全就业和社会产能全利用。1921年至1939年长达19年的时间里，英国失业率始终维持10%以上</w:t>
      </w:r>
      <w:r>
        <w:fldChar w:fldCharType="begin"/>
      </w:r>
      <w:r>
        <w:instrText xml:space="preserve"> ADDIN EN.CITE &lt;EndNote&gt;&lt;Cite&gt;&lt;Author&gt;Phillips&lt;/Author&gt;&lt;Year&gt;1958&lt;/Year&gt;&lt;RecNum&gt;956&lt;/RecNum&gt;&lt;DisplayText&gt;(Phillips, 1958)&lt;/DisplayText&gt;&lt;record&gt;&lt;rec-number&gt;956&lt;/rec-number&gt;&lt;foreign-keys&gt;&lt;key app="EN" db-id="dfw50pzpwrep2aeerx4v2xdyaa5vzeftr0xv" timestamp="1674198091"&gt;956&lt;/key&gt;&lt;/foreign-keys&gt;&lt;ref-type name="Journal Article"&gt;17&lt;/ref-type&gt;&lt;contributors&gt;&lt;authors&gt;&lt;author&gt;Phillips, Alban W.&lt;/author&gt;&lt;/authors&gt;&lt;/contributors&gt;&lt;titles&gt;&lt;title&gt;The relation between unemployment and the rate of change of money wage rates in the United Kingdom, 1861-1957&lt;/title&gt;&lt;secondary-title&gt;economica&lt;/secondary-title&gt;&lt;/titles&gt;&lt;periodical&gt;&lt;full-title&gt;economica&lt;/full-title&gt;&lt;/periodical&gt;&lt;pages&gt;283-299&lt;/pages&gt;&lt;volume&gt;25&lt;/volume&gt;&lt;number&gt;100&lt;/number&gt;&lt;dates&gt;&lt;year&gt;1958&lt;/year&gt;&lt;/dates&gt;&lt;publisher&gt;JSTOR&lt;/publisher&gt;&lt;isbn&gt;0013-0427&lt;/isbn&gt;&lt;urls&gt;&lt;/urls&gt;&lt;/record&gt;&lt;/Cite&gt;&lt;/EndNote&gt;</w:instrText>
      </w:r>
      <w:r>
        <w:fldChar w:fldCharType="separate"/>
      </w:r>
      <w:r>
        <w:t>(Phillips, 1958)</w:t>
      </w:r>
      <w:r>
        <w:fldChar w:fldCharType="end"/>
      </w:r>
      <w:r>
        <w:rPr>
          <w:rFonts w:hint="eastAsia"/>
        </w:rPr>
        <w:t>。这意味着索洛关于自由市场经济中长期能实现劳动力全就业和社会资本全利用的</w:t>
      </w:r>
      <w:r>
        <w:rPr>
          <w:rFonts w:hint="default"/>
        </w:rPr>
        <w:t>基本规律</w:t>
      </w:r>
      <w:r>
        <w:rPr>
          <w:rFonts w:hint="eastAsia"/>
        </w:rPr>
        <w:t>假设过强。</w:t>
      </w:r>
    </w:p>
    <w:p>
      <w:pPr>
        <w:pStyle w:val="31"/>
        <w:numPr>
          <w:ilvl w:val="0"/>
          <w:numId w:val="2"/>
        </w:numPr>
        <w:ind w:firstLineChars="0"/>
      </w:pPr>
      <w:r>
        <w:rPr>
          <w:rFonts w:hint="eastAsia"/>
        </w:rPr>
        <w:t>市场经济存在均衡市场利率的</w:t>
      </w:r>
      <w:r>
        <w:rPr>
          <w:rFonts w:hint="default"/>
        </w:rPr>
        <w:t>基本规律</w:t>
      </w:r>
      <w:r>
        <w:rPr>
          <w:rFonts w:hint="eastAsia"/>
        </w:rPr>
        <w:t>假设过强</w:t>
      </w:r>
    </w:p>
    <w:p>
      <w:pPr>
        <w:ind w:firstLineChars="0"/>
        <w:rPr>
          <w:rFonts w:hint="eastAsia"/>
        </w:rPr>
      </w:pPr>
      <w:r>
        <w:rPr>
          <w:rFonts w:hint="eastAsia"/>
        </w:rPr>
        <w:t>由于英国1921年至1939年长达19年的时间失业率维持在10%以上，英国市场经济这期间一直处于非优化均衡状态，因此本文认为希克斯关于市场经济存在均衡市场利率的</w:t>
      </w:r>
      <w:r>
        <w:rPr>
          <w:rFonts w:hint="default"/>
        </w:rPr>
        <w:t>基本规律</w:t>
      </w:r>
      <w:r>
        <w:rPr>
          <w:rFonts w:hint="eastAsia"/>
        </w:rPr>
        <w:t>假设过强。</w:t>
      </w:r>
    </w:p>
    <w:p>
      <w:pPr>
        <w:pStyle w:val="4"/>
        <w:numPr>
          <w:ilvl w:val="0"/>
          <w:numId w:val="1"/>
        </w:numPr>
        <w:ind w:left="0" w:leftChars="0" w:firstLine="420" w:firstLineChars="200"/>
      </w:pPr>
      <w:r>
        <w:rPr>
          <w:rFonts w:hint="eastAsia"/>
          <w:lang w:val="en-US" w:eastAsia="zh-CN"/>
        </w:rPr>
        <w:t>新古典学派和凯恩斯学派存在</w:t>
      </w:r>
      <w:r>
        <w:t>方法论的缺陷</w:t>
      </w:r>
    </w:p>
    <w:p>
      <w:r>
        <w:rPr>
          <w:rFonts w:hint="eastAsia"/>
        </w:rPr>
        <w:t>前文已讨论，新古典学派和凯恩斯学派</w:t>
      </w:r>
      <w:r>
        <w:rPr>
          <w:rFonts w:hint="eastAsia"/>
          <w:lang w:val="en-US" w:eastAsia="zh-CN"/>
        </w:rPr>
        <w:t>若干</w:t>
      </w:r>
      <w:r>
        <w:rPr>
          <w:rFonts w:hint="eastAsia"/>
        </w:rPr>
        <w:t>基本规律假设过强。</w:t>
      </w:r>
      <w:r>
        <w:rPr>
          <w:rFonts w:hint="eastAsia"/>
          <w:lang w:val="en-US" w:eastAsia="zh-CN"/>
        </w:rPr>
        <w:t>既然如此，</w:t>
      </w:r>
      <w:r>
        <w:rPr>
          <w:rFonts w:hint="eastAsia"/>
        </w:rPr>
        <w:t>为何这两个学派对</w:t>
      </w:r>
      <w:r>
        <w:t>现实</w:t>
      </w:r>
      <w:r>
        <w:rPr>
          <w:rFonts w:hint="eastAsia"/>
        </w:rPr>
        <w:t>经济</w:t>
      </w:r>
      <w:r>
        <w:t>活动仍</w:t>
      </w:r>
      <w:r>
        <w:rPr>
          <w:rFonts w:hint="eastAsia"/>
        </w:rPr>
        <w:t>有相当的预测和解释能力，并且一直被全球主流经济学家所追捧？这</w:t>
      </w:r>
      <w:r>
        <w:t>是因为</w:t>
      </w:r>
      <w:r>
        <w:rPr>
          <w:rFonts w:hint="eastAsia"/>
        </w:rPr>
        <w:t>计量经济学</w:t>
      </w:r>
      <w:r>
        <w:t>的先进性可以弥补其</w:t>
      </w:r>
      <w:r>
        <w:rPr>
          <w:rFonts w:hint="eastAsia"/>
        </w:rPr>
        <w:t>基本规律</w:t>
      </w:r>
      <w:r>
        <w:t>假设</w:t>
      </w:r>
      <w:r>
        <w:rPr>
          <w:rFonts w:hint="eastAsia"/>
        </w:rPr>
        <w:t>过</w:t>
      </w:r>
      <w:r>
        <w:t>强的不足。</w:t>
      </w:r>
    </w:p>
    <w:p>
      <w:r>
        <w:rPr>
          <w:rFonts w:hint="eastAsia"/>
        </w:rPr>
        <w:t>计量经济学也称实证经济学，通过经济数据归纳总结经济变量之间的统计规律，而不是通过逻辑演绎推演经济变量之间的因果关系。属于实证经济学的计量经济学本质上是一种数学变换，把反映各经济变量之间复杂逻辑关系的函数F</w:t>
      </w:r>
      <w:r>
        <w:t>(X)</w:t>
      </w:r>
      <w:r>
        <w:rPr>
          <w:rFonts w:hint="eastAsia"/>
        </w:rPr>
        <w:t>转换成各经济变量的序列统计函数，如公式（2-1）所示。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hint="eastAsia" w:ascii="Cambria Math" w:hAnsi="Cambria Math"/>
                      <w:i/>
                    </w:rPr>
                  </m:ctrlPr>
                </m:sSubPr>
                <m:e>
                  <m:r>
                    <m:rPr/>
                    <w:rPr>
                      <w:rFonts w:hint="eastAsia" w:ascii="Cambria Math" w:hAnsi="Cambria Math"/>
                    </w:rPr>
                    <m:t>Y</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w:t>
            </w:r>
            <m:oMath>
              <m:r>
                <m:rPr>
                  <m:sty m:val="p"/>
                </m:rPr>
                <w:rPr>
                  <w:rFonts w:hint="eastAsia" w:ascii="Cambria Math" w:hAnsi="Cambria Math"/>
                </w:rPr>
                <m:t>F(</m:t>
              </m:r>
              <m:sSub>
                <m:sSubPr>
                  <m:ctrlPr>
                    <w:rPr>
                      <w:rFonts w:hint="eastAsia" w:ascii="Cambria Math" w:hAnsi="Cambria Math"/>
                    </w:rPr>
                  </m:ctrlPr>
                </m:sSubPr>
                <m:e>
                  <m:r>
                    <m:rPr>
                      <m:sty m:val="p"/>
                    </m:rPr>
                    <w:rPr>
                      <w:rFonts w:ascii="Cambria Math" w:hAnsi="Cambria Math"/>
                    </w:rPr>
                    <m:t>X</m:t>
                  </m:r>
                  <m:ctrlPr>
                    <w:rPr>
                      <w:rFonts w:hint="eastAsia" w:ascii="Cambria Math" w:hAnsi="Cambria Math"/>
                    </w:rPr>
                  </m:ctrlPr>
                </m:e>
                <m:sub>
                  <m:r>
                    <m:rPr>
                      <m:sty m:val="p"/>
                    </m:rPr>
                    <w:rPr>
                      <w:rFonts w:ascii="Cambria Math" w:hAnsi="Cambria Math"/>
                    </w:rPr>
                    <m:t>t</m:t>
                  </m:r>
                  <m:ctrlPr>
                    <w:rPr>
                      <w:rFonts w:hint="eastAsia" w:ascii="Cambria Math" w:hAnsi="Cambria Math"/>
                    </w:rPr>
                  </m:ctrlPr>
                </m:sub>
              </m:sSub>
              <m:r>
                <m:rPr>
                  <m:sty m:val="p"/>
                </m:rPr>
                <w:rPr>
                  <w:rFonts w:hint="eastAsia" w:ascii="Cambria Math" w:hAnsi="Cambria Math"/>
                </w:rPr>
                <m:t>)</m:t>
              </m:r>
            </m:oMath>
            <w:r>
              <w:rPr>
                <w:rFonts w:hint="eastAsia"/>
              </w:rPr>
              <w:t>=</w:t>
            </w:r>
            <m:oMath>
              <m:sSup>
                <m:sSupPr>
                  <m:ctrlPr>
                    <w:rPr>
                      <w:rFonts w:hint="eastAsia" w:ascii="Cambria Math" w:hAnsi="Cambria Math"/>
                      <w:i/>
                    </w:rPr>
                  </m:ctrlPr>
                </m:sSupPr>
                <m:e>
                  <m:sSub>
                    <m:sSubPr>
                      <m:ctrlPr>
                        <w:rPr>
                          <w:rFonts w:hint="eastAsia" w:ascii="Cambria Math" w:hAnsi="Cambria Math"/>
                          <w:i/>
                        </w:rPr>
                      </m:ctrlPr>
                    </m:sSubPr>
                    <m:e>
                      <m:r>
                        <m:rPr/>
                        <w:rPr>
                          <w:rFonts w:hint="eastAsia" w:ascii="Cambria Math" w:hAnsi="Cambria Math"/>
                        </w:rPr>
                        <m:t>X</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ctrlPr>
                    <w:rPr>
                      <w:rFonts w:hint="eastAsia" w:ascii="Cambria Math" w:hAnsi="Cambria Math"/>
                      <w:i/>
                    </w:rPr>
                  </m:ctrlPr>
                </m:e>
                <m:sup>
                  <m:r>
                    <m:rPr/>
                    <w:rPr>
                      <w:rFonts w:hint="eastAsia" w:ascii="Cambria Math" w:hAnsi="Cambria Math"/>
                    </w:rPr>
                    <m:t>'</m:t>
                  </m:r>
                  <m:ctrlPr>
                    <w:rPr>
                      <w:rFonts w:hint="eastAsia" w:ascii="Cambria Math" w:hAnsi="Cambria Math"/>
                      <w:i/>
                    </w:rPr>
                  </m:ctrlPr>
                </m:sup>
              </m:sSup>
              <m:sSup>
                <m:sSupPr>
                  <m:ctrlPr>
                    <w:rPr>
                      <w:rFonts w:hint="eastAsia" w:ascii="Cambria Math" w:hAnsi="Cambria Math"/>
                      <w:i/>
                    </w:rPr>
                  </m:ctrlPr>
                </m:sSupPr>
                <m:e>
                  <m:r>
                    <m:rPr/>
                    <w:rPr>
                      <w:rFonts w:hint="eastAsia" w:ascii="Cambria Math" w:hAnsi="Cambria Math"/>
                    </w:rPr>
                    <m:t>β</m:t>
                  </m:r>
                  <m:ctrlPr>
                    <w:rPr>
                      <w:rFonts w:hint="eastAsia" w:ascii="Cambria Math" w:hAnsi="Cambria Math"/>
                      <w:i/>
                    </w:rPr>
                  </m:ctrlPr>
                </m:e>
                <m:sup>
                  <m:r>
                    <m:rPr/>
                    <w:rPr>
                      <w:rFonts w:hint="eastAsia" w:ascii="Cambria Math" w:hAnsi="Cambria Math"/>
                    </w:rPr>
                    <m:t>0</m:t>
                  </m:r>
                  <m:ctrlPr>
                    <w:rPr>
                      <w:rFonts w:hint="eastAsia" w:ascii="Cambria Math" w:hAnsi="Cambria Math"/>
                      <w:i/>
                    </w:rPr>
                  </m:ctrlPr>
                </m:sup>
              </m:sSup>
            </m:oMath>
            <w:r>
              <w:rPr>
                <w:rFonts w:hint="eastAsia"/>
              </w:rPr>
              <w:t>+</w:t>
            </w:r>
            <m:oMath>
              <m:sSub>
                <m:sSubPr>
                  <m:ctrlPr>
                    <w:rPr>
                      <w:rFonts w:hint="eastAsia" w:ascii="Cambria Math" w:hAnsi="Cambria Math"/>
                      <w:i/>
                    </w:rPr>
                  </m:ctrlPr>
                </m:sSubPr>
                <m:e>
                  <m:r>
                    <m:rPr/>
                    <w:rPr>
                      <w:rFonts w:hint="eastAsia" w:ascii="Cambria Math" w:hAnsi="Cambria Math"/>
                    </w:rPr>
                    <m:t>ε</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 xml:space="preserve">    t=1,2,...,n    </w:t>
            </w:r>
          </w:p>
        </w:tc>
        <w:tc>
          <w:tcPr>
            <w:tcW w:w="930" w:type="dxa"/>
            <w:vAlign w:val="center"/>
          </w:tcPr>
          <w:p>
            <w:pPr>
              <w:ind w:firstLine="0" w:firstLineChars="0"/>
              <w:jc w:val="right"/>
            </w:pPr>
            <w:r>
              <w:rPr>
                <w:rFonts w:hint="eastAsia"/>
              </w:rPr>
              <w:t>(2-1)</w:t>
            </w:r>
          </w:p>
        </w:tc>
      </w:tr>
    </w:tbl>
    <w:p>
      <w:r>
        <w:rPr>
          <w:rFonts w:hint="eastAsia"/>
        </w:rPr>
        <w:t>式中</w:t>
      </w:r>
      <m:oMath>
        <m:sSub>
          <m:sSubPr>
            <m:ctrlPr>
              <w:rPr>
                <w:rFonts w:hint="eastAsia" w:ascii="Cambria Math" w:hAnsi="Cambria Math"/>
                <w:i/>
              </w:rPr>
            </m:ctrlPr>
          </m:sSubPr>
          <m:e>
            <m:r>
              <m:rPr/>
              <w:rPr>
                <w:rFonts w:hint="eastAsia" w:ascii="Cambria Math" w:hAnsi="Cambria Math"/>
              </w:rPr>
              <m:t>Y</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是因变量，</w:t>
      </w:r>
      <m:oMath>
        <m:sSub>
          <m:sSubPr>
            <m:ctrlPr>
              <w:rPr>
                <w:rFonts w:hint="eastAsia" w:ascii="Cambria Math" w:hAnsi="Cambria Math"/>
                <w:i/>
              </w:rPr>
            </m:ctrlPr>
          </m:sSubPr>
          <m:e>
            <m:r>
              <m:rPr/>
              <w:rPr>
                <w:rFonts w:hint="eastAsia" w:ascii="Cambria Math" w:hAnsi="Cambria Math"/>
              </w:rPr>
              <m:t>X</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是由经济解释变量及其非线性变换所构成的K-维自变量向量，</w:t>
      </w:r>
      <m:oMath>
        <m:sSup>
          <m:sSupPr>
            <m:ctrlPr>
              <w:rPr>
                <w:rFonts w:hint="eastAsia" w:ascii="Cambria Math" w:hAnsi="Cambria Math"/>
                <w:i/>
              </w:rPr>
            </m:ctrlPr>
          </m:sSupPr>
          <m:e>
            <m:r>
              <m:rPr/>
              <w:rPr>
                <w:rFonts w:hint="eastAsia" w:ascii="Cambria Math" w:hAnsi="Cambria Math"/>
              </w:rPr>
              <m:t>β</m:t>
            </m:r>
            <m:ctrlPr>
              <w:rPr>
                <w:rFonts w:hint="eastAsia" w:ascii="Cambria Math" w:hAnsi="Cambria Math"/>
                <w:i/>
              </w:rPr>
            </m:ctrlPr>
          </m:e>
          <m:sup>
            <m:r>
              <m:rPr/>
              <w:rPr>
                <w:rFonts w:hint="eastAsia" w:ascii="Cambria Math" w:hAnsi="Cambria Math"/>
              </w:rPr>
              <m:t>0</m:t>
            </m:r>
            <m:ctrlPr>
              <w:rPr>
                <w:rFonts w:hint="eastAsia" w:ascii="Cambria Math" w:hAnsi="Cambria Math"/>
                <w:i/>
              </w:rPr>
            </m:ctrlPr>
          </m:sup>
        </m:sSup>
      </m:oMath>
      <w:r>
        <w:rPr>
          <w:rFonts w:hint="eastAsia"/>
        </w:rPr>
        <w:t>是K-维未知参数向量，</w:t>
      </w:r>
      <m:oMath>
        <m:sSub>
          <m:sSubPr>
            <m:ctrlPr>
              <w:rPr>
                <w:rFonts w:hint="eastAsia" w:ascii="Cambria Math" w:hAnsi="Cambria Math"/>
                <w:i/>
              </w:rPr>
            </m:ctrlPr>
          </m:sSubPr>
          <m:e>
            <m:r>
              <m:rPr/>
              <w:rPr>
                <w:rFonts w:hint="eastAsia" w:ascii="Cambria Math" w:hAnsi="Cambria Math"/>
              </w:rPr>
              <m:t>ε</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是不可观测的扰动项，代表除了自变量</w:t>
      </w:r>
      <m:oMath>
        <m:sSub>
          <m:sSubPr>
            <m:ctrlPr>
              <w:rPr>
                <w:rFonts w:hint="eastAsia" w:ascii="Cambria Math" w:hAnsi="Cambria Math"/>
                <w:i/>
              </w:rPr>
            </m:ctrlPr>
          </m:sSubPr>
          <m:e>
            <m:r>
              <m:rPr/>
              <w:rPr>
                <w:rFonts w:hint="eastAsia" w:ascii="Cambria Math" w:hAnsi="Cambria Math"/>
              </w:rPr>
              <m:t>X</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之外所有其它因素对</w:t>
      </w:r>
      <m:oMath>
        <m:sSub>
          <m:sSubPr>
            <m:ctrlPr>
              <w:rPr>
                <w:rFonts w:hint="eastAsia" w:ascii="Cambria Math" w:hAnsi="Cambria Math"/>
                <w:i/>
              </w:rPr>
            </m:ctrlPr>
          </m:sSubPr>
          <m:e>
            <m:r>
              <m:rPr/>
              <w:rPr>
                <w:rFonts w:hint="eastAsia" w:ascii="Cambria Math" w:hAnsi="Cambria Math"/>
              </w:rPr>
              <m:t>Y</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的总效应，n是样本容量。</w:t>
      </w:r>
    </w:p>
    <w:p>
      <w:r>
        <w:rPr>
          <w:rFonts w:hint="eastAsia"/>
        </w:rPr>
        <w:t>理论上讲，任何一个收敛的</w:t>
      </w:r>
      <w:r>
        <w:t>反映各经济变量复杂逻辑关系的</w:t>
      </w:r>
      <w:r>
        <w:rPr>
          <w:rFonts w:hint="eastAsia"/>
        </w:rPr>
        <w:t>函数F</w:t>
      </w:r>
      <w:r>
        <w:t>(X)都可以转换成各经济变量的时间序列的统计函数。这样，通过计量经济学的统计函数就可以撇开经济变量之间的逻辑关系把各经济变量之间的统计数据关系计算出来，成为解释经济现象和制定经济政策的依据。</w:t>
      </w:r>
    </w:p>
    <w:p>
      <w:r>
        <w:rPr>
          <w:rFonts w:hint="eastAsia"/>
        </w:rPr>
        <w:t>计量经济学已经发展得很成熟，从正态分布到非正态分布假设，从条件同方差与零自相关到条件异方差与自相关，从线性模型到非线性模型，从外生性到内生性，从模型正确设定到模型误设，从平稳性到非平稳性，从传统数据到大数据</w:t>
      </w:r>
      <w:r>
        <w:fldChar w:fldCharType="begin"/>
      </w:r>
      <w:r>
        <w:rPr>
          <w:rFonts w:hint="eastAsia"/>
        </w:rPr>
        <w:instrText xml:space="preserve"> ADDIN EN.CITE &lt;EndNote&gt;&lt;Cite&gt;&lt;Author&gt;洪永淼&lt;/Author&gt;&lt;Year&gt;2021&lt;/Year&gt;&lt;RecNum&gt;961&lt;/RecNum&gt;&lt;DisplayText&gt;(洪永淼, 2021)&lt;/DisplayText&gt;&lt;record&gt;&lt;rec-number&gt;961&lt;/rec-number&gt;&lt;foreign-keys&gt;&lt;key app="EN" db-id="dfw50pzpwrep2aeerx4v2xdyaa5vzeftr0xv" timestamp="1674198305"&gt;961&lt;/key&gt;&lt;/foreign-keys&gt;&lt;ref-type name="Journal Article"&gt;17&lt;/ref-type&gt;&lt;contributors&gt;&lt;authors&gt;&lt;author&gt;&lt;style face="normal" font="default" charset="134" size="100%"&gt;洪永淼&lt;/style&gt;&lt;/author&gt;&lt;/authors&gt;&lt;/contributors&gt;&lt;titles&gt;&lt;title&gt;&lt;style face="normal" font="default" charset="134" size="100%"&gt;理解现代计量经济学&lt;/style&gt;&lt;/title&gt;&lt;secondary-title&gt;&lt;style face="normal" font="default" charset="134" size="100%"&gt;计量经济学报&lt;/style&gt;&lt;/secondary-title&gt;&lt;/titles&gt;&lt;periodical&gt;&lt;full-title&gt;计量经济学报&lt;/full-title&gt;&lt;/periodical&gt;&lt;pages&gt;266-284&lt;/pages&gt;&lt;volume&gt;1&lt;/volume&gt;&lt;number&gt;02&lt;/number&gt;&lt;keywords&gt;&lt;keyword&gt;非实验性&lt;/keyword&gt;&lt;keyword&gt;线性回归模型&lt;/keyword&gt;&lt;keyword&gt;非线性模型&lt;/keyword&gt;&lt;keyword&gt;模型设定&lt;/keyword&gt;&lt;keyword&gt;正态分布&lt;/keyword&gt;&lt;keyword&gt;条件异方差&lt;/keyword&gt;&lt;keyword&gt;内生性&lt;/keyword&gt;&lt;keyword&gt;工具变量&lt;/keyword&gt;&lt;keyword&gt;广义矩估计&lt;/keyword&gt;&lt;keyword&gt;平稳性&lt;/keyword&gt;&lt;keyword&gt;结构变化&lt;/keyword&gt;&lt;keyword&gt;模型不确定性&lt;/keyword&gt;&lt;keyword&gt;大数据&lt;/keyword&gt;&lt;keyword&gt;高维数据&lt;/keyword&gt;&lt;keyword&gt;机器学习&lt;/keyword&gt;&lt;keyword&gt;预测&lt;/keyword&gt;&lt;keyword&gt;因果关系&lt;/keyword&gt;&lt;keyword&gt;政策评估&lt;/keyword&gt;&lt;/keywords&gt;&lt;dates&gt;&lt;year&gt;2021&lt;/year&gt;&lt;/dates&gt;&lt;url</w:instrText>
      </w:r>
      <w:r>
        <w:instrText xml:space="preserve">s&gt;&lt;/urls&gt;&lt;/record&gt;&lt;/Cite&gt;&lt;/EndNote&gt;</w:instrText>
      </w:r>
      <w:r>
        <w:fldChar w:fldCharType="separate"/>
      </w:r>
      <w:r>
        <w:rPr>
          <w:rFonts w:hint="eastAsia"/>
        </w:rPr>
        <w:t>(洪永淼, 2021)</w:t>
      </w:r>
      <w:r>
        <w:fldChar w:fldCharType="end"/>
      </w:r>
      <w:r>
        <w:rPr>
          <w:rFonts w:hint="eastAsia"/>
        </w:rPr>
        <w:t>。总之，通过复杂却又严谨的数据处理科学，计量经济学可以脱离经济变量之间的逻辑关系而把其数据之间的统计关系找出来。</w:t>
      </w:r>
    </w:p>
    <w:p>
      <w:r>
        <w:t>动态随机一般均衡计量经济学数学模型（DSGE）是应用最广的计量经济学模型之一，它通过假设技术进步和货币等变量</w:t>
      </w:r>
      <w:r>
        <w:rPr>
          <w:rFonts w:hint="eastAsia"/>
        </w:rPr>
        <w:t>等</w:t>
      </w:r>
      <w:r>
        <w:t>为随机变量，能很好地揭示各经济变量之间的统计关系</w:t>
      </w:r>
      <w:r>
        <w:fldChar w:fldCharType="begin"/>
      </w:r>
      <w:r>
        <w:instrText xml:space="preserve"> ADDIN EN.CITE &lt;EndNote&gt;&lt;Cite&gt;&lt;Author&gt;Fernández-Villaverde&lt;/Author&gt;&lt;Year&gt;2010&lt;/Year&gt;&lt;RecNum&gt;949&lt;/RecNum&gt;&lt;DisplayText&gt;(Fernández-Villaverde, 2010)&lt;/DisplayText&gt;&lt;record&gt;&lt;rec-number&gt;949&lt;/rec-number&gt;&lt;foreign-keys&gt;&lt;key app="EN" db-id="dfw50pzpwrep2aeerx4v2xdyaa5vzeftr0xv" timestamp="1674197889"&gt;949&lt;/key&gt;&lt;/foreign-keys&gt;&lt;ref-type name="Journal Article"&gt;17&lt;/ref-type&gt;&lt;contributors&gt;&lt;authors&gt;&lt;author&gt;Fernández-Villaverde, Jesús&lt;/author&gt;&lt;/authors&gt;&lt;/contributors&gt;&lt;titles&gt;&lt;title&gt;The econometrics of DSGE models&lt;/title&gt;&lt;secondary-title&gt;SERIEs&lt;/secondary-title&gt;&lt;/titles&gt;&lt;periodical&gt;&lt;full-title&gt;SERIEs&lt;/full-title&gt;&lt;/periodical&gt;&lt;pages&gt;3-49&lt;/pages&gt;&lt;volume&gt;1&lt;/volume&gt;&lt;number&gt;1&lt;/number&gt;&lt;dates&gt;&lt;year&gt;2010&lt;/year&gt;&lt;/dates&gt;&lt;publisher&gt;Springer&lt;/publisher&gt;&lt;isbn&gt;1869-4195&lt;/isbn&gt;&lt;urls&gt;&lt;/urls&gt;&lt;/record&gt;&lt;/Cite&gt;&lt;/EndNote&gt;</w:instrText>
      </w:r>
      <w:r>
        <w:fldChar w:fldCharType="separate"/>
      </w:r>
      <w:r>
        <w:t>(Fernández-Villaverde, 2010)</w:t>
      </w:r>
      <w:r>
        <w:fldChar w:fldCharType="end"/>
      </w:r>
      <w:r>
        <w:t>。</w:t>
      </w:r>
    </w:p>
    <w:p>
      <w:r>
        <w:rPr>
          <w:rFonts w:hint="eastAsia"/>
        </w:rPr>
        <w:t>尽管动态随机一般均衡（DSGE）等先进计量经济学模型能有效揭示各经济变量之间的统计规律关系，但无法揭示各经济变量之间的因果关系。比如计量经济学无法揭示政府投资，社会产出，技术进步和社会资本积累等经济变量之间的具体的因果关系。这是西方主流经济理论新古典学派和凯恩斯学派不能很好地解释1978年以来中国经济取得巨大成功的重要原因之一。</w:t>
      </w:r>
    </w:p>
    <w:p>
      <w:r>
        <w:rPr>
          <w:rFonts w:hint="eastAsia"/>
        </w:rPr>
        <w:t>弗里德曼在《实证经济学文集》中</w:t>
      </w:r>
      <w:r>
        <w:rPr>
          <w:rFonts w:hint="eastAsia"/>
          <w:lang w:val="en-US" w:eastAsia="zh-CN"/>
        </w:rPr>
        <w:t>指出</w:t>
      </w:r>
      <w:r>
        <w:rPr>
          <w:rFonts w:hint="eastAsia"/>
        </w:rPr>
        <w:t>，经济理论假设的构建应该基于灵感，直觉和创新，不要被定理，逻辑三段论和科学方法论所束缚</w:t>
      </w:r>
      <w:r>
        <w:fldChar w:fldCharType="begin"/>
      </w:r>
      <w:r>
        <w:instrText xml:space="preserve"> ADDIN EN.CITE &lt;EndNote&gt;&lt;Cite&gt;&lt;Author&gt;Friedman&lt;/Author&gt;&lt;Year&gt;1953&lt;/Year&gt;&lt;RecNum&gt;950&lt;/RecNum&gt;&lt;DisplayText&gt;(Friedman, 1953)&lt;/DisplayText&gt;&lt;record&gt;&lt;rec-number&gt;950&lt;/rec-number&gt;&lt;foreign-keys&gt;&lt;key app="EN" db-id="dfw50pzpwrep2aeerx4v2xdyaa5vzeftr0xv" timestamp="1674197912"&gt;950&lt;/key&gt;&lt;/foreign-keys&gt;&lt;ref-type name="Book"&gt;6&lt;/ref-type&gt;&lt;contributors&gt;&lt;authors&gt;&lt;author&gt;Friedman, Milton&lt;/author&gt;&lt;/authors&gt;&lt;/contributors&gt;&lt;titles&gt;&lt;title&gt;Essays in positive economics&lt;/title&gt;&lt;/titles&gt;&lt;dates&gt;&lt;year&gt;1953&lt;/year&gt;&lt;/dates&gt;&lt;publisher&gt;University of Chicago press&lt;/publisher&gt;&lt;isbn&gt;0226264033&lt;/isbn&gt;&lt;urls&gt;&lt;/urls&gt;&lt;/record&gt;&lt;/Cite&gt;&lt;/EndNote&gt;</w:instrText>
      </w:r>
      <w:r>
        <w:fldChar w:fldCharType="separate"/>
      </w:r>
      <w:r>
        <w:t>(Friedman, 1953)</w:t>
      </w:r>
      <w:r>
        <w:fldChar w:fldCharType="end"/>
      </w:r>
      <w:r>
        <w:rPr>
          <w:rFonts w:hint="eastAsia"/>
        </w:rPr>
        <w:t>。主流经济理论过度依赖计量经济学而不重视经济理论的</w:t>
      </w:r>
      <w:r>
        <w:rPr>
          <w:rFonts w:hint="eastAsia"/>
          <w:lang w:val="en-US" w:eastAsia="zh-CN"/>
        </w:rPr>
        <w:t>内在</w:t>
      </w:r>
      <w:r>
        <w:rPr>
          <w:rFonts w:hint="eastAsia"/>
        </w:rPr>
        <w:t>逻辑，其关于市场经济的基本规律假设过强一直没得到纠正，这是其方法论的缺陷。</w:t>
      </w:r>
    </w:p>
    <w:p>
      <w:r>
        <w:rPr>
          <w:rFonts w:hint="eastAsia"/>
        </w:rPr>
        <w:t>在对市场经济微观机制的理解仍处于“看不见的手”的黑盒子的阶段，经济理论主要依赖实证经济学有重要的现实意义。但随着市场经济的微观机制规律被不断揭示出来，经济理论方法论应该随之而进步，逻辑演绎和实证并重。</w:t>
      </w:r>
    </w:p>
    <w:p/>
    <w:p>
      <w:pPr>
        <w:pStyle w:val="2"/>
        <w:ind w:firstLine="1400" w:firstLineChars="500"/>
        <w:jc w:val="both"/>
        <w:rPr>
          <w:rFonts w:hint="default" w:eastAsia="宋体"/>
          <w:lang w:val="en-US" w:eastAsia="zh-CN"/>
        </w:rPr>
      </w:pPr>
      <w:r>
        <w:rPr>
          <w:rFonts w:hint="eastAsia"/>
        </w:rPr>
        <w:t>三、</w:t>
      </w:r>
      <w:r>
        <w:rPr>
          <w:rFonts w:hint="eastAsia"/>
          <w:lang w:val="en-US" w:eastAsia="zh-CN"/>
        </w:rPr>
        <w:t>微观基础数学模型</w:t>
      </w:r>
    </w:p>
    <w:p>
      <w:r>
        <w:rPr>
          <w:rFonts w:hint="eastAsia"/>
        </w:rPr>
        <w:t>阿罗-德布鲁一般均衡模型是新古典学派微观</w:t>
      </w:r>
      <w:r>
        <w:rPr>
          <w:rFonts w:hint="eastAsia"/>
          <w:lang w:val="en-US" w:eastAsia="zh-CN"/>
        </w:rPr>
        <w:t>基础</w:t>
      </w:r>
      <w:r>
        <w:rPr>
          <w:rFonts w:hint="eastAsia"/>
        </w:rPr>
        <w:t>数学模型。前面第二节已讨论，阿罗-德布鲁一般均衡模型关于投资品商品交换存在竞争性均衡</w:t>
      </w:r>
      <w:r>
        <w:rPr>
          <w:rFonts w:hint="default"/>
        </w:rPr>
        <w:t>的基本规律假设过强</w:t>
      </w:r>
      <w:r>
        <w:rPr>
          <w:rFonts w:hint="eastAsia"/>
        </w:rPr>
        <w:t>，</w:t>
      </w:r>
      <w:r>
        <w:rPr>
          <w:rFonts w:hint="default"/>
        </w:rPr>
        <w:t>关于</w:t>
      </w:r>
      <w:r>
        <w:rPr>
          <w:rFonts w:hint="eastAsia"/>
        </w:rPr>
        <w:t>商品生产存在竞争性均衡的基本规律假设过强。在改进阿罗-德布鲁一般均衡模型关于市场经济基本规律假设的基础上，</w:t>
      </w:r>
      <w:r>
        <w:rPr>
          <w:rFonts w:hint="eastAsia"/>
          <w:lang w:val="en-US" w:eastAsia="zh-CN"/>
        </w:rPr>
        <w:t>综合吸收其他学者的研究成果，</w:t>
      </w:r>
      <w:r>
        <w:rPr>
          <w:rFonts w:hint="eastAsia"/>
        </w:rPr>
        <w:t>本文提出三个互相独立的关于市场经济</w:t>
      </w:r>
      <w:r>
        <w:rPr>
          <w:rFonts w:hint="default"/>
        </w:rPr>
        <w:t>微观经济行为</w:t>
      </w:r>
      <w:r>
        <w:rPr>
          <w:rFonts w:hint="eastAsia"/>
        </w:rPr>
        <w:t>的基本规律假设作为本文</w:t>
      </w:r>
      <w:r>
        <w:rPr>
          <w:rFonts w:hint="eastAsia"/>
          <w:lang w:val="en-US" w:eastAsia="zh-CN"/>
        </w:rPr>
        <w:t>社会主义市场经济理论</w:t>
      </w:r>
      <w:r>
        <w:rPr>
          <w:rFonts w:hint="eastAsia"/>
        </w:rPr>
        <w:t>微观</w:t>
      </w:r>
      <w:r>
        <w:rPr>
          <w:rFonts w:hint="eastAsia"/>
          <w:lang w:val="en-US" w:eastAsia="zh-CN"/>
        </w:rPr>
        <w:t>基础</w:t>
      </w:r>
      <w:r>
        <w:rPr>
          <w:rFonts w:hint="eastAsia"/>
        </w:rPr>
        <w:t>数学模型。</w:t>
      </w:r>
    </w:p>
    <w:p>
      <w:pPr>
        <w:pStyle w:val="4"/>
        <w:ind w:firstLine="420"/>
      </w:pPr>
      <w:r>
        <w:t>（一）基本规律假设一：没有任何第三方强制或限制的自由市场经济，被交换次数为有限的非投资品商品交换存在使交易主体资产效用增加的帕累托优化竞争性均衡。</w:t>
      </w:r>
    </w:p>
    <w:p>
      <w:pPr>
        <w:rPr>
          <w:i/>
        </w:rPr>
      </w:pPr>
      <w:r>
        <w:t>参考</w:t>
      </w:r>
      <w:r>
        <w:fldChar w:fldCharType="begin"/>
      </w:r>
      <w:r>
        <w:instrText xml:space="preserve"> ADDIN EN.CITE &lt;EndNote&gt;&lt;Cite AuthorYear="1"&gt;&lt;Author&gt;Zhukovskiy&lt;/Author&gt;&lt;Year&gt;2016&lt;/Year&gt;&lt;RecNum&gt;960&lt;/RecNum&gt;&lt;DisplayText&gt;Zhukovskiy &amp;amp; Kudryavtsev (2016)&lt;/DisplayText&gt;&lt;record&gt;&lt;rec-number&gt;960&lt;/rec-number&gt;&lt;foreign-keys&gt;&lt;key app="EN" db-id="dfw50pzpwrep2aeerx4v2xdyaa5vzeftr0xv" timestamp="1674198168"&gt;960&lt;/key&gt;&lt;/foreign-keys&gt;&lt;ref-type name="Journal Article"&gt;17&lt;/ref-type&gt;&lt;contributors&gt;&lt;authors&gt;&lt;author&gt;Zhukovskiy, Vladislav I.&lt;/author&gt;&lt;author&gt;Kudryavtsev, Konstantin N.&lt;/author&gt;&lt;/authors&gt;&lt;/contributors&gt;&lt;titles&gt;&lt;title&gt;Pareto-optimal Nash equilibrium: Sufficient conditions and existence in mixed strategies&lt;/title&gt;&lt;secondary-title&gt;Automation and Remote Control&lt;/secondary-title&gt;&lt;/titles&gt;&lt;periodical&gt;&lt;full-title&gt;Automation and Remote Control&lt;/full-title&gt;&lt;/periodical&gt;&lt;pages&gt;1500-1510&lt;/pages&gt;&lt;volume&gt;77&lt;/volume&gt;&lt;number&gt;8&lt;/number&gt;&lt;dates&gt;&lt;year&gt;2016&lt;/year&gt;&lt;/dates&gt;&lt;publisher&gt;Springer&lt;/publisher&gt;&lt;isbn&gt;1608-3032&lt;/isbn&gt;&lt;urls&gt;&lt;/urls&gt;&lt;/record&gt;&lt;/Cite&gt;&lt;/EndNote&gt;</w:instrText>
      </w:r>
      <w:r>
        <w:fldChar w:fldCharType="separate"/>
      </w:r>
      <w:r>
        <w:t>Zhukovskiy &amp; Kudryavtsev (2016)</w:t>
      </w:r>
      <w:r>
        <w:fldChar w:fldCharType="end"/>
      </w:r>
      <w:r>
        <w:t>的研究，基本规律假设一可用数学语言表述为：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rPr>
                <w:sz w:val="32"/>
                <w:szCs w:val="32"/>
              </w:rPr>
            </w:pPr>
            <m:oMath>
              <m:r>
                <m:rPr>
                  <m:sty m:val="p"/>
                </m:rPr>
                <w:rPr>
                  <w:rFonts w:ascii="Cambria Math" w:hAnsi="Cambria Math"/>
                  <w:szCs w:val="21"/>
                </w:rPr>
                <m:t>Γ=</m:t>
              </m:r>
              <m:d>
                <m:dPr>
                  <m:begChr m:val="⟦"/>
                  <m:endChr m:val="⟧"/>
                  <m:ctrlPr>
                    <w:rPr>
                      <w:rFonts w:ascii="Cambria Math" w:hAnsi="Cambria Math"/>
                      <w:szCs w:val="21"/>
                    </w:rPr>
                  </m:ctrlPr>
                </m:dPr>
                <m:e>
                  <m:r>
                    <m:rPr>
                      <m:sty m:val="p"/>
                    </m:rPr>
                    <w:rPr>
                      <w:rFonts w:ascii="Cambria Math" w:hAnsi="Cambria Math"/>
                      <w:szCs w:val="21"/>
                    </w:rPr>
                    <m:t>Ν，</m:t>
                  </m:r>
                  <m:sSub>
                    <m:sSubPr>
                      <m:ctrlPr>
                        <w:rPr>
                          <w:rFonts w:ascii="Cambria Math" w:hAnsi="Cambria Math"/>
                          <w:szCs w:val="21"/>
                        </w:rPr>
                      </m:ctrlPr>
                    </m:sSubPr>
                    <m:e>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Χ</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ctrlPr>
                            <w:rPr>
                              <w:rFonts w:ascii="Cambria Math" w:hAnsi="Cambria Math"/>
                              <w:szCs w:val="21"/>
                            </w:rPr>
                          </m:ctrlPr>
                        </m:e>
                      </m:d>
                      <m:ctrlPr>
                        <w:rPr>
                          <w:rFonts w:ascii="Cambria Math" w:hAnsi="Cambria Math"/>
                          <w:szCs w:val="21"/>
                        </w:rPr>
                      </m:ctrlPr>
                    </m:e>
                    <m:sub>
                      <m:r>
                        <m:rPr>
                          <m:sty m:val="p"/>
                        </m:rPr>
                        <w:rPr>
                          <w:rFonts w:ascii="Cambria Math" w:hAnsi="Cambria Math"/>
                          <w:szCs w:val="21"/>
                        </w:rPr>
                        <m:t>i∈N</m:t>
                      </m:r>
                      <m:ctrlPr>
                        <w:rPr>
                          <w:rFonts w:ascii="Cambria Math" w:hAnsi="Cambria Math"/>
                          <w:szCs w:val="21"/>
                        </w:rPr>
                      </m:ctrlPr>
                    </m:sub>
                  </m:sSub>
                  <m:sSub>
                    <m:sSubPr>
                      <m:ctrlPr>
                        <w:rPr>
                          <w:rFonts w:ascii="Cambria Math" w:hAnsi="Cambria Math"/>
                          <w:szCs w:val="21"/>
                        </w:rPr>
                      </m:ctrlPr>
                    </m:sSubPr>
                    <m:e>
                      <m:r>
                        <m:rPr>
                          <m:sty m:val="p"/>
                        </m:rPr>
                        <w:rPr>
                          <w:rFonts w:ascii="Cambria Math" w:hAnsi="Cambria Math"/>
                          <w:szCs w:val="21"/>
                        </w:rPr>
                        <m:t>，</m:t>
                      </m:r>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f</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d>
                            <m:dPr>
                              <m:ctrlPr>
                                <w:rPr>
                                  <w:rFonts w:ascii="Cambria Math" w:hAnsi="Cambria Math"/>
                                  <w:szCs w:val="21"/>
                                </w:rPr>
                              </m:ctrlPr>
                            </m:dPr>
                            <m:e>
                              <m:r>
                                <m:rPr>
                                  <m:sty m:val="p"/>
                                </m:rPr>
                                <w:rPr>
                                  <w:rFonts w:ascii="Cambria Math" w:hAnsi="Cambria Math"/>
                                  <w:szCs w:val="21"/>
                                </w:rPr>
                                <m:t>x</m:t>
                              </m:r>
                              <m:ctrlPr>
                                <w:rPr>
                                  <w:rFonts w:ascii="Cambria Math" w:hAnsi="Cambria Math"/>
                                  <w:szCs w:val="21"/>
                                </w:rPr>
                              </m:ctrlPr>
                            </m:e>
                          </m:d>
                          <m:ctrlPr>
                            <w:rPr>
                              <w:rFonts w:ascii="Cambria Math" w:hAnsi="Cambria Math"/>
                              <w:szCs w:val="21"/>
                            </w:rPr>
                          </m:ctrlPr>
                        </m:e>
                      </m:d>
                      <m:ctrlPr>
                        <w:rPr>
                          <w:rFonts w:ascii="Cambria Math" w:hAnsi="Cambria Math"/>
                          <w:szCs w:val="21"/>
                        </w:rPr>
                      </m:ctrlPr>
                    </m:e>
                    <m:sub>
                      <m:r>
                        <m:rPr>
                          <m:sty m:val="p"/>
                        </m:rPr>
                        <w:rPr>
                          <w:rFonts w:ascii="Cambria Math" w:hAnsi="Cambria Math"/>
                          <w:szCs w:val="21"/>
                        </w:rPr>
                        <m:t>i∈N</m:t>
                      </m:r>
                      <m:ctrlPr>
                        <w:rPr>
                          <w:rFonts w:ascii="Cambria Math" w:hAnsi="Cambria Math"/>
                          <w:szCs w:val="21"/>
                        </w:rPr>
                      </m:ctrlPr>
                    </m:sub>
                  </m:sSub>
                  <m:ctrlPr>
                    <w:rPr>
                      <w:rFonts w:ascii="Cambria Math" w:hAnsi="Cambria Math"/>
                      <w:szCs w:val="21"/>
                    </w:rPr>
                  </m:ctrlPr>
                </m:e>
              </m:d>
            </m:oMath>
            <w:r>
              <w:rPr>
                <w:szCs w:val="21"/>
              </w:rPr>
              <w:t xml:space="preserve">   </w:t>
            </w:r>
            <w:r>
              <w:rPr>
                <w:sz w:val="32"/>
                <w:szCs w:val="32"/>
              </w:rPr>
              <w:t xml:space="preserve"> </w:t>
            </w:r>
          </w:p>
        </w:tc>
        <w:tc>
          <w:tcPr>
            <w:tcW w:w="930" w:type="dxa"/>
            <w:vAlign w:val="center"/>
          </w:tcPr>
          <w:p>
            <w:pPr>
              <w:ind w:firstLine="0" w:firstLineChars="0"/>
              <w:jc w:val="right"/>
            </w:pPr>
            <w: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nary>
                <m:naryPr>
                  <m:chr m:val="∑"/>
                  <m:limLoc m:val="undOvr"/>
                  <m:supHide m:val="1"/>
                  <m:ctrlPr>
                    <w:rPr>
                      <w:rFonts w:ascii="Cambria Math" w:hAnsi="Cambria Math"/>
                      <w:szCs w:val="21"/>
                    </w:rPr>
                  </m:ctrlPr>
                </m:naryPr>
                <m:sub>
                  <m:r>
                    <m:rPr/>
                    <w:rPr>
                      <w:rFonts w:ascii="Cambria Math" w:hAnsi="Cambria Math"/>
                      <w:szCs w:val="21"/>
                    </w:rPr>
                    <m:t>i</m:t>
                  </m:r>
                  <m:r>
                    <m:rPr>
                      <m:sty m:val="p"/>
                    </m:rPr>
                    <w:rPr>
                      <w:rFonts w:ascii="Cambria Math" w:hAnsi="Cambria Math"/>
                      <w:szCs w:val="21"/>
                    </w:rPr>
                    <m:t>∈N</m:t>
                  </m:r>
                  <m:ctrlPr>
                    <w:rPr>
                      <w:rFonts w:ascii="Cambria Math" w:hAnsi="Cambria Math"/>
                      <w:szCs w:val="21"/>
                    </w:rPr>
                  </m:ctrlPr>
                </m:sub>
                <m:sup>
                  <m:ctrlPr>
                    <w:rPr>
                      <w:rFonts w:ascii="Cambria Math" w:hAnsi="Cambria Math"/>
                      <w:szCs w:val="21"/>
                    </w:rPr>
                  </m:ctrlPr>
                </m:sup>
                <m:e>
                  <m:sSub>
                    <m:sSubPr>
                      <m:ctrlPr>
                        <w:rPr>
                          <w:rFonts w:ascii="Cambria Math" w:hAnsi="Cambria Math"/>
                          <w:szCs w:val="21"/>
                        </w:rPr>
                      </m:ctrlPr>
                    </m:sSubPr>
                    <m:e>
                      <m:r>
                        <m:rPr/>
                        <w:rPr>
                          <w:rFonts w:ascii="Cambria Math" w:hAnsi="Cambria Math"/>
                          <w:szCs w:val="21"/>
                        </w:rPr>
                        <m:t>f</m:t>
                      </m:r>
                      <m:ctrlPr>
                        <w:rPr>
                          <w:rFonts w:ascii="Cambria Math" w:hAnsi="Cambria Math"/>
                          <w:szCs w:val="21"/>
                        </w:rPr>
                      </m:ctrlPr>
                    </m:e>
                    <m:sub>
                      <m:r>
                        <m:rPr/>
                        <w:rPr>
                          <w:rFonts w:ascii="Cambria Math" w:hAnsi="Cambria Math"/>
                          <w:szCs w:val="21"/>
                        </w:rPr>
                        <m:t>i</m:t>
                      </m:r>
                      <m:ctrlPr>
                        <w:rPr>
                          <w:rFonts w:ascii="Cambria Math" w:hAnsi="Cambria Math"/>
                          <w:szCs w:val="21"/>
                        </w:rPr>
                      </m:ctrlPr>
                    </m:sub>
                  </m:sSub>
                  <m:ctrlPr>
                    <w:rPr>
                      <w:rFonts w:ascii="Cambria Math" w:hAnsi="Cambria Math"/>
                      <w:szCs w:val="21"/>
                    </w:rPr>
                  </m:ctrlPr>
                </m:e>
              </m:nary>
              <m:r>
                <m:rPr>
                  <m:sty m:val="p"/>
                </m:rPr>
                <w:rPr>
                  <w:rFonts w:ascii="Cambria Math" w:hAnsi="Cambria Math"/>
                  <w:szCs w:val="21"/>
                </w:rPr>
                <m:t>(</m:t>
              </m:r>
              <m:sSub>
                <m:sSubPr>
                  <m:ctrlPr>
                    <w:rPr>
                      <w:rFonts w:ascii="Cambria Math" w:hAnsi="Cambria Math"/>
                      <w:szCs w:val="21"/>
                    </w:rPr>
                  </m:ctrlPr>
                </m:sSubPr>
                <m:e>
                  <m:r>
                    <m:rPr/>
                    <w:rPr>
                      <w:rFonts w:ascii="Cambria Math" w:hAnsi="Cambria Math"/>
                      <w:szCs w:val="21"/>
                    </w:rPr>
                    <m:t>X</m:t>
                  </m:r>
                  <m:ctrlPr>
                    <w:rPr>
                      <w:rFonts w:ascii="Cambria Math" w:hAnsi="Cambria Math"/>
                      <w:szCs w:val="21"/>
                    </w:rPr>
                  </m:ctrlPr>
                </m:e>
                <m:sub>
                  <m:r>
                    <m:rPr/>
                    <w:rPr>
                      <w:rFonts w:ascii="Cambria Math" w:hAnsi="Cambria Math"/>
                      <w:szCs w:val="21"/>
                    </w:rPr>
                    <m:t>i</m:t>
                  </m:r>
                  <m:ctrlPr>
                    <w:rPr>
                      <w:rFonts w:ascii="Cambria Math" w:hAnsi="Cambria Math"/>
                      <w:szCs w:val="21"/>
                    </w:rPr>
                  </m:ctrlPr>
                </m:sub>
              </m:sSub>
              <m:r>
                <m:rPr>
                  <m:sty m:val="p"/>
                </m:rPr>
                <w:rPr>
                  <w:rFonts w:ascii="Cambria Math" w:hAnsi="Cambria Math"/>
                  <w:szCs w:val="21"/>
                </w:rPr>
                <m:t>)≦</m:t>
              </m:r>
              <m:nary>
                <m:naryPr>
                  <m:chr m:val="∑"/>
                  <m:limLoc m:val="undOvr"/>
                  <m:supHide m:val="1"/>
                  <m:ctrlPr>
                    <w:rPr>
                      <w:rFonts w:ascii="Cambria Math" w:hAnsi="Cambria Math"/>
                      <w:szCs w:val="21"/>
                    </w:rPr>
                  </m:ctrlPr>
                </m:naryPr>
                <m:sub>
                  <m:r>
                    <m:rPr/>
                    <w:rPr>
                      <w:rFonts w:ascii="Cambria Math" w:hAnsi="Cambria Math"/>
                      <w:szCs w:val="21"/>
                    </w:rPr>
                    <m:t>i</m:t>
                  </m:r>
                  <m:r>
                    <m:rPr>
                      <m:sty m:val="p"/>
                    </m:rPr>
                    <w:rPr>
                      <w:rFonts w:ascii="Cambria Math" w:hAnsi="Cambria Math"/>
                      <w:szCs w:val="21"/>
                    </w:rPr>
                    <m:t>∈N</m:t>
                  </m:r>
                  <m:ctrlPr>
                    <w:rPr>
                      <w:rFonts w:ascii="Cambria Math" w:hAnsi="Cambria Math"/>
                      <w:szCs w:val="21"/>
                    </w:rPr>
                  </m:ctrlPr>
                </m:sub>
                <m:sup>
                  <m:ctrlPr>
                    <w:rPr>
                      <w:rFonts w:ascii="Cambria Math" w:hAnsi="Cambria Math"/>
                      <w:szCs w:val="21"/>
                    </w:rPr>
                  </m:ctrlPr>
                </m:sup>
                <m:e>
                  <m:sSub>
                    <m:sSubPr>
                      <m:ctrlPr>
                        <w:rPr>
                          <w:rFonts w:ascii="Cambria Math" w:hAnsi="Cambria Math"/>
                          <w:szCs w:val="21"/>
                        </w:rPr>
                      </m:ctrlPr>
                    </m:sSubPr>
                    <m:e>
                      <m:r>
                        <m:rPr/>
                        <w:rPr>
                          <w:rFonts w:ascii="Cambria Math" w:hAnsi="Cambria Math"/>
                          <w:szCs w:val="21"/>
                        </w:rPr>
                        <m:t>f</m:t>
                      </m:r>
                      <m:ctrlPr>
                        <w:rPr>
                          <w:rFonts w:ascii="Cambria Math" w:hAnsi="Cambria Math"/>
                          <w:szCs w:val="21"/>
                        </w:rPr>
                      </m:ctrlPr>
                    </m:e>
                    <m:sub>
                      <m:r>
                        <m:rPr/>
                        <w:rPr>
                          <w:rFonts w:ascii="Cambria Math" w:hAnsi="Cambria Math"/>
                          <w:szCs w:val="21"/>
                        </w:rPr>
                        <m:t>i</m:t>
                      </m:r>
                      <m:ctrlPr>
                        <w:rPr>
                          <w:rFonts w:ascii="Cambria Math" w:hAnsi="Cambria Math"/>
                          <w:szCs w:val="21"/>
                        </w:rPr>
                      </m:ctrlPr>
                    </m:sub>
                  </m:sSub>
                  <m:ctrlPr>
                    <w:rPr>
                      <w:rFonts w:ascii="Cambria Math" w:hAnsi="Cambria Math"/>
                      <w:szCs w:val="21"/>
                    </w:rPr>
                  </m:ctrlPr>
                </m:e>
              </m:nary>
            </m:oMath>
            <w:r>
              <w:rPr>
                <w:szCs w:val="21"/>
              </w:rPr>
              <w:t>(</w:t>
            </w:r>
            <m:oMath>
              <m:sSup>
                <m:sSupPr>
                  <m:ctrlPr>
                    <w:rPr>
                      <w:rFonts w:ascii="Cambria Math" w:hAnsi="Cambria Math"/>
                      <w:szCs w:val="21"/>
                    </w:rPr>
                  </m:ctrlPr>
                </m:sSupPr>
                <m:e>
                  <m:r>
                    <m:rPr/>
                    <w:rPr>
                      <w:rFonts w:ascii="Cambria Math" w:hAnsi="Cambria Math"/>
                      <w:szCs w:val="21"/>
                    </w:rPr>
                    <m:t>X</m:t>
                  </m:r>
                  <m:ctrlPr>
                    <w:rPr>
                      <w:rFonts w:ascii="Cambria Math" w:hAnsi="Cambria Math"/>
                      <w:szCs w:val="21"/>
                    </w:rPr>
                  </m:ctrlPr>
                </m:e>
                <m:sup>
                  <m:r>
                    <m:rPr/>
                    <w:rPr>
                      <w:rFonts w:ascii="Cambria Math" w:hAnsi="Cambria Math"/>
                      <w:szCs w:val="21"/>
                    </w:rPr>
                    <m:t>p</m:t>
                  </m:r>
                  <m:ctrlPr>
                    <w:rPr>
                      <w:rFonts w:ascii="Cambria Math" w:hAnsi="Cambria Math"/>
                      <w:szCs w:val="21"/>
                    </w:rPr>
                  </m:ctrlPr>
                </m:sup>
              </m:sSup>
            </m:oMath>
            <w:r>
              <w:rPr>
                <w:szCs w:val="21"/>
              </w:rPr>
              <w:t xml:space="preserve">) </w:t>
            </w:r>
            <w:r>
              <w:t xml:space="preserve">   </w:t>
            </w:r>
          </w:p>
        </w:tc>
        <w:tc>
          <w:tcPr>
            <w:tcW w:w="930" w:type="dxa"/>
            <w:vAlign w:val="center"/>
          </w:tcPr>
          <w:p>
            <w:pPr>
              <w:ind w:firstLine="0" w:firstLineChars="0"/>
              <w:jc w:val="right"/>
            </w:pPr>
            <w:r>
              <w:t>(3-2)</w:t>
            </w:r>
          </w:p>
        </w:tc>
      </w:tr>
    </w:tbl>
    <w:p>
      <w:r>
        <w:t>即式（3-1）表达的在没有任何第三方强制或限制的自由市场经济体系里被交换次数为有限的非投资品商品交换存在式（3-2）表达的帕累托优化竞争性均衡。其中，</w:t>
      </w:r>
      <m:oMath>
        <m:r>
          <m:rPr>
            <m:sty m:val="p"/>
          </m:rPr>
          <w:rPr>
            <w:rFonts w:ascii="Cambria Math" w:hAnsi="Cambria Math"/>
          </w:rPr>
          <m:t>N</m:t>
        </m:r>
      </m:oMath>
      <w:r>
        <w:t>=</w:t>
      </w:r>
      <m:oMath>
        <m:d>
          <m:dPr>
            <m:begChr m:val="{"/>
            <m:endChr m:val="}"/>
            <m:ctrlPr>
              <w:rPr>
                <w:rFonts w:ascii="Cambria Math" w:hAnsi="Cambria Math"/>
                <w:i/>
              </w:rPr>
            </m:ctrlPr>
          </m:dPr>
          <m:e>
            <m:r>
              <m:rPr/>
              <w:rPr>
                <w:rFonts w:ascii="Cambria Math" w:hAnsi="Cambria Math"/>
              </w:rPr>
              <m:t>1,...,N</m:t>
            </m:r>
            <m:ctrlPr>
              <w:rPr>
                <w:rFonts w:ascii="Cambria Math" w:hAnsi="Cambria Math"/>
                <w:i/>
              </w:rPr>
            </m:ctrlPr>
          </m:e>
        </m:d>
      </m:oMath>
      <w:r>
        <w:t>为模型经济体的经济主体数，</w:t>
      </w:r>
      <m:oMath>
        <m:r>
          <m:rPr>
            <m:sty m:val="p"/>
          </m:rPr>
          <w:rPr>
            <w:rFonts w:ascii="Cambria Math" w:hAnsi="Cambria Math"/>
          </w:rPr>
          <m:t>N</m:t>
        </m:r>
      </m:oMath>
      <w:r>
        <w:t>为有限值；i为商品交换经济主体的序号；</w:t>
      </w:r>
      <m:oMath>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R</m:t>
            </m:r>
            <m:ctrlPr>
              <w:rPr>
                <w:rFonts w:ascii="Cambria Math" w:hAnsi="Cambria Math"/>
              </w:rPr>
            </m:ctrlPr>
          </m:e>
          <m:sup>
            <m:r>
              <m:rPr>
                <m:sty m:val="p"/>
              </m:rPr>
              <w:rPr>
                <w:rFonts w:ascii="Cambria Math" w:hAnsi="Cambria Math"/>
              </w:rPr>
              <m:t>ni</m:t>
            </m:r>
            <m:ctrlPr>
              <w:rPr>
                <w:rFonts w:ascii="Cambria Math" w:hAnsi="Cambria Math"/>
              </w:rPr>
            </m:ctrlPr>
          </m:sup>
        </m:sSup>
      </m:oMath>
      <w:r>
        <w:t>为第</w:t>
      </w:r>
      <m:oMath>
        <m:r>
          <m:rPr>
            <m:sty m:val="p"/>
          </m:rPr>
          <w:rPr>
            <w:rFonts w:ascii="Cambria Math" w:hAnsi="Cambria Math"/>
          </w:rPr>
          <m:t>i</m:t>
        </m:r>
      </m:oMath>
      <w:r>
        <w:t>个经济主体与其它主体的商品交换集合，为有限向量；所有经济主体与其它经济主体商品交换的集合为</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)∈X=</m:t>
        </m:r>
        <m:nary>
          <m:naryPr>
            <m:chr m:val="∏"/>
            <m:limLoc m:val="undOvr"/>
            <m:supHide m:val="1"/>
            <m:ctrlPr>
              <w:rPr>
                <w:rFonts w:ascii="Cambria Math" w:hAnsi="Cambria Math"/>
              </w:rPr>
            </m:ctrlPr>
          </m:naryPr>
          <m:sub>
            <m:r>
              <m:rPr>
                <m:sty m:val="p"/>
              </m:rPr>
              <w:rPr>
                <w:rFonts w:ascii="Cambria Math" w:hAnsi="Cambria Math"/>
              </w:rPr>
              <m:t>i∈N</m:t>
            </m:r>
            <m:ctrlPr>
              <w:rPr>
                <w:rFonts w:ascii="Cambria Math" w:hAnsi="Cambria Math"/>
              </w:rPr>
            </m:ctrlPr>
          </m:sub>
          <m:sup>
            <m:ctrlPr>
              <w:rPr>
                <w:rFonts w:ascii="Cambria Math" w:hAnsi="Cambria Math"/>
              </w:rPr>
            </m:ctrlPr>
          </m:sup>
          <m:e>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m:t>
                </m:r>
                <m:ctrlPr>
                  <w:rPr>
                    <w:rFonts w:ascii="Cambria Math" w:hAnsi="Cambria Math"/>
                  </w:rPr>
                </m:ctrlPr>
              </m:sub>
            </m:sSub>
            <m:ctrlPr>
              <w:rPr>
                <w:rFonts w:ascii="Cambria Math" w:hAnsi="Cambria Math"/>
              </w:rPr>
            </m:ctrlPr>
          </m:e>
        </m:nary>
        <m:r>
          <m:rPr>
            <m:sty m:val="p"/>
          </m:rPr>
          <w:rPr>
            <w:rFonts w:ascii="Cambria Math" w:hAnsi="Cambria Math"/>
          </w:rPr>
          <m:t>∈</m:t>
        </m:r>
        <m:sSup>
          <m:sSupPr>
            <m:ctrlPr>
              <w:rPr>
                <w:rFonts w:ascii="Cambria Math" w:hAnsi="Cambria Math"/>
              </w:rPr>
            </m:ctrlPr>
          </m:sSupPr>
          <m:e>
            <m:r>
              <m:rPr>
                <m:sty m:val="p"/>
              </m:rPr>
              <w:rPr>
                <w:rFonts w:ascii="Cambria Math" w:hAnsi="Cambria Math"/>
              </w:rPr>
              <m:t>R</m:t>
            </m:r>
            <m:ctrlPr>
              <w:rPr>
                <w:rFonts w:ascii="Cambria Math" w:hAnsi="Cambria Math"/>
              </w:rPr>
            </m:ctrlPr>
          </m:e>
          <m:sup>
            <m:r>
              <m:rPr>
                <m:sty m:val="p"/>
              </m:rPr>
              <w:rPr>
                <w:rFonts w:ascii="Cambria Math" w:hAnsi="Cambria Math"/>
              </w:rPr>
              <m:t>N</m:t>
            </m:r>
            <m:ctrlPr>
              <w:rPr>
                <w:rFonts w:ascii="Cambria Math" w:hAnsi="Cambria Math"/>
              </w:rPr>
            </m:ctrlPr>
          </m:sup>
        </m:sSup>
        <m:d>
          <m:dPr>
            <m:ctrlPr>
              <w:rPr>
                <w:rFonts w:ascii="Cambria Math" w:hAnsi="Cambria Math"/>
              </w:rPr>
            </m:ctrlPr>
          </m:dPr>
          <m:e>
            <m:r>
              <m:rPr>
                <m:sty m:val="p"/>
              </m:rPr>
              <w:rPr>
                <w:rFonts w:ascii="Cambria Math" w:hAnsi="Cambria Math"/>
              </w:rPr>
              <m:t>n=</m:t>
            </m:r>
            <m:nary>
              <m:naryPr>
                <m:chr m:val="∑"/>
                <m:limLoc m:val="undOvr"/>
                <m:supHide m:val="1"/>
                <m:ctrlPr>
                  <w:rPr>
                    <w:rFonts w:ascii="Cambria Math" w:hAnsi="Cambria Math"/>
                  </w:rPr>
                </m:ctrlPr>
              </m:naryPr>
              <m:sub>
                <m:r>
                  <m:rPr>
                    <m:sty m:val="p"/>
                  </m:rPr>
                  <w:rPr>
                    <w:rFonts w:ascii="Cambria Math" w:hAnsi="Cambria Math"/>
                  </w:rPr>
                  <m:t>i∈N</m:t>
                </m:r>
                <m:ctrlPr>
                  <w:rPr>
                    <w:rFonts w:ascii="Cambria Math" w:hAnsi="Cambria Math"/>
                  </w:rPr>
                </m:ctrlPr>
              </m:sub>
              <m:sup>
                <m:ctrlPr>
                  <w:rPr>
                    <w:rFonts w:ascii="Cambria Math" w:hAnsi="Cambria Math"/>
                  </w:rPr>
                </m:ctrlPr>
              </m:sup>
              <m:e>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i</m:t>
                    </m:r>
                    <m:ctrlPr>
                      <w:rPr>
                        <w:rFonts w:ascii="Cambria Math" w:hAnsi="Cambria Math"/>
                      </w:rPr>
                    </m:ctrlPr>
                  </m:sub>
                </m:sSub>
                <m:ctrlPr>
                  <w:rPr>
                    <w:rFonts w:ascii="Cambria Math" w:hAnsi="Cambria Math"/>
                  </w:rPr>
                </m:ctrlPr>
              </m:e>
            </m:nary>
            <m:ctrlPr>
              <w:rPr>
                <w:rFonts w:ascii="Cambria Math" w:hAnsi="Cambria Math"/>
              </w:rPr>
            </m:ctrlPr>
          </m:e>
        </m:d>
      </m:oMath>
      <w:r>
        <w:t>，每个</w:t>
      </w:r>
      <m:oMath>
        <m:r>
          <m:rPr>
            <m:sty m:val="p"/>
          </m:rPr>
          <w:rPr>
            <w:rFonts w:ascii="Cambria Math" w:hAnsi="Cambria Math"/>
          </w:rPr>
          <m:t>i∈N</m:t>
        </m:r>
      </m:oMath>
      <w:r>
        <w:t xml:space="preserve">. </w:t>
      </w:r>
      <m:oMath>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i</m:t>
            </m:r>
            <m:ctrlPr>
              <w:rPr>
                <w:rFonts w:ascii="Cambria Math" w:hAnsi="Cambria Math"/>
                <w:i/>
              </w:rPr>
            </m:ctrlPr>
          </m:sub>
        </m:sSub>
      </m:oMath>
      <w:r>
        <w:t>(x)为第i个经济主体与其它经济主体商品交换后获得效用增加，</w:t>
      </w:r>
      <m:oMath>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i</m:t>
            </m:r>
            <m:ctrlPr>
              <w:rPr>
                <w:rFonts w:ascii="Cambria Math" w:hAnsi="Cambria Math"/>
                <w:i/>
              </w:rPr>
            </m:ctrlPr>
          </m:sub>
        </m:sSub>
      </m:oMath>
      <w:r>
        <w:t>(x)≥0，所有i。</w:t>
      </w:r>
      <m:oMath>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p</m:t>
            </m:r>
            <m:ctrlPr>
              <w:rPr>
                <w:rFonts w:ascii="Cambria Math" w:hAnsi="Cambria Math"/>
                <w:i/>
              </w:rPr>
            </m:ctrlPr>
          </m:sup>
        </m:sSup>
        <m:r>
          <m:rPr/>
          <w:rPr>
            <w:rFonts w:ascii="Cambria Math" w:hAnsi="Cambria Math"/>
          </w:rPr>
          <m:t>=(</m:t>
        </m:r>
        <m:sSup>
          <m:sSupPr>
            <m:ctrlPr>
              <w:rPr>
                <w:rFonts w:ascii="Cambria Math" w:hAnsi="Cambria Math"/>
                <w:i/>
              </w:rPr>
            </m:ctrlPr>
          </m:sSupPr>
          <m:e>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e>
          <m:sup>
            <m:r>
              <m:rPr/>
              <w:rPr>
                <w:rFonts w:ascii="Cambria Math" w:hAnsi="Cambria Math"/>
              </w:rPr>
              <m:t>p</m:t>
            </m:r>
            <m:ctrlPr>
              <w:rPr>
                <w:rFonts w:ascii="Cambria Math" w:hAnsi="Cambria Math"/>
                <w:i/>
              </w:rPr>
            </m:ctrlPr>
          </m:sup>
        </m:sSup>
        <m:r>
          <m:rPr/>
          <w:rPr>
            <w:rFonts w:ascii="Cambria Math" w:hAnsi="Cambria Math"/>
          </w:rPr>
          <m:t>,...,</m:t>
        </m:r>
        <m:sSup>
          <m:sSupPr>
            <m:ctrlPr>
              <w:rPr>
                <w:rFonts w:ascii="Cambria Math" w:hAnsi="Cambria Math"/>
                <w:i/>
              </w:rPr>
            </m:ctrlPr>
          </m:sSupPr>
          <m:e>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e>
          <m:sup>
            <m:r>
              <m:rPr/>
              <w:rPr>
                <w:rFonts w:ascii="Cambria Math" w:hAnsi="Cambria Math"/>
              </w:rPr>
              <m:t>p</m:t>
            </m:r>
            <m:ctrlPr>
              <w:rPr>
                <w:rFonts w:ascii="Cambria Math" w:hAnsi="Cambria Math"/>
                <w:i/>
              </w:rPr>
            </m:ctrlPr>
          </m:sup>
        </m:sSup>
        <m:r>
          <m:rPr/>
          <w:rPr>
            <w:rFonts w:ascii="Cambria Math" w:hAnsi="Cambria Math"/>
          </w:rPr>
          <m:t>)</m:t>
        </m:r>
        <m:r>
          <m:rPr>
            <m:sty m:val="p"/>
          </m:rPr>
          <w:rPr>
            <w:rFonts w:ascii="Cambria Math" w:hAnsi="Cambria Math"/>
          </w:rPr>
          <m:t>∈X</m:t>
        </m:r>
      </m:oMath>
      <w:r>
        <w:t xml:space="preserve"> 为帕累托优化竞争性均衡的商品交换。</w:t>
      </w:r>
    </w:p>
    <w:p>
      <w:r>
        <w:t>本文认为没有任何第三方强制或限制的自由市场经济的任一非投资品商品交换双方获得的商品效用增加都大于或等于零，即</w:t>
      </w:r>
      <m:oMath>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i</m:t>
            </m:r>
            <m:ctrlPr>
              <w:rPr>
                <w:rFonts w:ascii="Cambria Math" w:hAnsi="Cambria Math"/>
                <w:i/>
              </w:rPr>
            </m:ctrlPr>
          </m:sub>
        </m:sSub>
      </m:oMath>
      <w:r>
        <w:t>(x)≥0，所有i</w:t>
      </w:r>
      <w:r>
        <w:rPr>
          <w:rFonts w:hint="eastAsia"/>
        </w:rPr>
        <w:t>。</w:t>
      </w:r>
      <w:r>
        <w:t>因此</w:t>
      </w:r>
      <w:r>
        <w:rPr>
          <w:rFonts w:hint="eastAsia"/>
        </w:rPr>
        <w:t>，</w:t>
      </w:r>
      <w:r>
        <w:t>基本规律假设一的均衡是帕累托优化的。</w:t>
      </w:r>
    </w:p>
    <w:p>
      <w:r>
        <w:t>基本假设一是对阿罗-德布鲁模型关于市场经济商品交换存在竞争性均衡的优化，表现在如下三方面。第一，区分了非投资品商品交换和投资品商品交换，认为非投资品交换存在竞争性均衡，投资品商品交换不存在竞争性均衡。第二，明确假设非投资品商品交换的竞争性均衡是帕累托优化的，以区分非帕累托优化的纳什均衡。第三，明确了自由市场的含义是没有任何强制或限制，其物理意义是法律保护每个经济主体的合法资产，法律保证任何商品交换都出于双方自愿。</w:t>
      </w:r>
    </w:p>
    <w:p>
      <w:pPr>
        <w:pStyle w:val="4"/>
        <w:numPr>
          <w:ilvl w:val="0"/>
          <w:numId w:val="3"/>
        </w:numPr>
        <w:ind w:firstLine="420"/>
      </w:pPr>
      <w:r>
        <w:t>基本规律假设二：自由市场经济</w:t>
      </w:r>
      <w:r>
        <w:rPr>
          <w:rFonts w:hint="eastAsia"/>
        </w:rPr>
        <w:t>难以</w:t>
      </w:r>
      <w:r>
        <w:t>实现劳动力全就业</w:t>
      </w:r>
      <w:r>
        <w:rPr>
          <w:rFonts w:hint="eastAsia"/>
        </w:rPr>
        <w:t>。</w:t>
      </w:r>
    </w:p>
    <w:p>
      <w:r>
        <w:rPr>
          <w:rFonts w:hint="eastAsia"/>
        </w:rPr>
        <w:t>附录2关于商品生产竞争的讨论表明，社会对某商品的购买量决定该商品生产的均衡产量，该商品的生产产能往往大于该产品的均衡产量。把这结论扩展到宏观角度就是社会需求决定社会产出，社会产能往往大于社会需求，劳动力难以实现全就业。</w:t>
      </w:r>
    </w:p>
    <w:p>
      <w:r>
        <w:t>经济危机时，家庭收入减少，家庭消费需求减少，进一步导致生产消费品的投资需求减少</w:t>
      </w:r>
      <w:r>
        <w:rPr>
          <w:rFonts w:hint="eastAsia"/>
        </w:rPr>
        <w:t>，最后导致就业人口减少</w:t>
      </w:r>
      <w:r>
        <w:t>。这解释了经济危机时劳动力大量失业的原因。</w:t>
      </w:r>
      <w:r>
        <w:rPr>
          <w:rFonts w:hint="eastAsia"/>
        </w:rPr>
        <w:t>存在</w:t>
      </w:r>
      <w:r>
        <w:t>劳动力失业时，政府投资提高社会需求，提高社会就业，提高家庭收入，提高家庭消费，提高满足政府投资需求和家庭消费需求的私人部门投资需求，并进一步提高就业和家庭消费</w:t>
      </w:r>
      <w:r>
        <w:rPr>
          <w:rFonts w:hint="eastAsia"/>
        </w:rPr>
        <w:t>。</w:t>
      </w:r>
      <w:r>
        <w:fldChar w:fldCharType="begin"/>
      </w:r>
      <w:r>
        <w:instrText xml:space="preserve"> ADDIN EN.CITE &lt;EndNote&gt;&lt;Cite AuthorYear="1"&gt;&lt;Author&gt;Adb&lt;/Author&gt;&lt;Year&gt;2016&lt;/Year&gt;&lt;RecNum&gt;941&lt;/RecNum&gt;&lt;DisplayText&gt;Adb, Furceri, &amp;amp; Imf (2016)&lt;/DisplayText&gt;&lt;record&gt;&lt;rec-number&gt;941&lt;/rec-number&gt;&lt;foreign-keys&gt;&lt;key app="EN" db-id="dfw50pzpwrep2aeerx4v2xdyaa5vzeftr0xv" timestamp="1674197457"&gt;941&lt;/key&gt;&lt;/foreign-keys&gt;&lt;ref-type name="Journal Article"&gt;17&lt;/ref-type&gt;&lt;contributors&gt;&lt;authors&gt;&lt;author&gt;Adb, Abdul Abiad&lt;/author&gt;&lt;author&gt;Furceri, Davide&lt;/author&gt;&lt;author&gt;Imf, Petia Topalova&lt;/author&gt;&lt;/authors&gt;&lt;/contributors&gt;&lt;titles&gt;&lt;title&gt;The macroeconomic effects of public investment: Evidence from advanced economies&lt;/title&gt;&lt;secondary-title&gt;Journal of Macroeconomics&lt;/secondary-title&gt;&lt;/titles&gt;&lt;periodical&gt;&lt;full-title&gt;Journal of Macroeconomics&lt;/full-title&gt;&lt;/periodical&gt;&lt;pages&gt;224-240&lt;/pages&gt;&lt;volume&gt;50&lt;/volume&gt;&lt;dates&gt;&lt;year&gt;2016&lt;/year&gt;&lt;/dates&gt;&lt;publisher&gt;Elsevier&lt;/publisher&gt;&lt;isbn&gt;0164-0704&lt;/isbn&gt;&lt;urls&gt;&lt;/urls&gt;&lt;/record&gt;&lt;/Cite&gt;&lt;/EndNote&gt;</w:instrText>
      </w:r>
      <w:r>
        <w:fldChar w:fldCharType="separate"/>
      </w:r>
      <w:r>
        <w:t>Adb, Furceri, &amp; Imf (2016)</w:t>
      </w:r>
      <w:r>
        <w:fldChar w:fldCharType="end"/>
      </w:r>
      <w:r>
        <w:t>用17个OECD国家1985-2013期间数据分析政府公共投资的效应，其结论是政府投资无论是长期还是短期都增加社会产出，激发而不是抑制私人部门投资，并减少社会失业。该研究支持本文的</w:t>
      </w:r>
      <w:r>
        <w:rPr>
          <w:rFonts w:hint="eastAsia"/>
        </w:rPr>
        <w:t>前述</w:t>
      </w:r>
      <w:r>
        <w:t>分析。</w:t>
      </w:r>
      <w:r>
        <w:rPr>
          <w:rFonts w:hint="eastAsia"/>
        </w:rPr>
        <w:t>这为政府投资提供了理论空间。政府投资和支出的意义及约束本文将在第四节进一步讨论。</w:t>
      </w:r>
    </w:p>
    <w:p>
      <w:pPr>
        <w:ind w:firstLineChars="0"/>
      </w:pPr>
      <w:r>
        <w:t>基本规律假设二</w:t>
      </w:r>
      <w:r>
        <w:rPr>
          <w:rFonts w:hint="eastAsia"/>
        </w:rPr>
        <w:t>与</w:t>
      </w:r>
      <w:r>
        <w:t>索洛关于自由市场经济能实现劳动力全就业和社会产能全利用的基本规律假设</w:t>
      </w:r>
      <w:r>
        <w:rPr>
          <w:rFonts w:hint="eastAsia"/>
        </w:rPr>
        <w:t>相反</w:t>
      </w:r>
      <w:r>
        <w:t>。</w:t>
      </w:r>
    </w:p>
    <w:p>
      <w:pPr>
        <w:widowControl/>
        <w:rPr>
          <w:szCs w:val="21"/>
        </w:rPr>
      </w:pPr>
      <w:r>
        <w:t>（三）基本规律假设三：</w:t>
      </w:r>
      <w:r>
        <w:rPr>
          <w:szCs w:val="21"/>
        </w:rPr>
        <w:t>知识为</w:t>
      </w:r>
      <m:oMath>
        <m:r>
          <m:rPr>
            <m:sty m:val="p"/>
          </m:rPr>
          <w:rPr>
            <w:rFonts w:ascii="Cambria Math" w:hAnsi="Cambria Math"/>
            <w:szCs w:val="21"/>
          </w:rPr>
          <m:t>无限维为</m:t>
        </m:r>
        <m:sSup>
          <m:sSupPr>
            <m:ctrlPr>
              <w:rPr>
                <w:rFonts w:ascii="Cambria Math" w:hAnsi="Cambria Math"/>
                <w:i/>
                <w:szCs w:val="21"/>
              </w:rPr>
            </m:ctrlPr>
          </m:sSupPr>
          <m:e>
            <m:r>
              <m:rPr/>
              <w:rPr>
                <w:rFonts w:ascii="Cambria Math" w:hAnsi="Cambria Math"/>
                <w:szCs w:val="21"/>
              </w:rPr>
              <m:t>A</m:t>
            </m:r>
            <m:ctrlPr>
              <w:rPr>
                <w:rFonts w:ascii="Cambria Math" w:hAnsi="Cambria Math"/>
                <w:i/>
                <w:szCs w:val="21"/>
              </w:rPr>
            </m:ctrlPr>
          </m:e>
          <m:sup>
            <m:r>
              <m:rPr/>
              <w:rPr>
                <w:rFonts w:ascii="Cambria Math" w:hAnsi="Cambria Math"/>
                <w:szCs w:val="21"/>
              </w:rPr>
              <m:t>n</m:t>
            </m:r>
            <m:ctrlPr>
              <w:rPr>
                <w:rFonts w:ascii="Cambria Math" w:hAnsi="Cambria Math"/>
                <w:i/>
                <w:szCs w:val="21"/>
              </w:rPr>
            </m:ctrlPr>
          </m:sup>
        </m:sSup>
      </m:oMath>
      <w:r>
        <w:rPr>
          <w:szCs w:val="21"/>
        </w:rPr>
        <w:t>，</w:t>
      </w:r>
      <m:oMath>
        <m:r>
          <m:rPr>
            <m:sty m:val="p"/>
          </m:rPr>
          <w:rPr>
            <w:rFonts w:ascii="Cambria Math" w:hAnsi="Cambria Math"/>
            <w:szCs w:val="21"/>
          </w:rPr>
          <m:t>n∈（0,∞）</m:t>
        </m:r>
      </m:oMath>
      <w:r>
        <w:rPr>
          <w:szCs w:val="21"/>
        </w:rPr>
        <w:t>,任一维为无限大，</w:t>
      </w:r>
      <m:oMath>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r>
          <m:rPr>
            <m:sty m:val="p"/>
          </m:rPr>
          <w:rPr>
            <w:rFonts w:ascii="Cambria Math" w:hAnsi="Cambria Math"/>
            <w:szCs w:val="21"/>
          </w:rPr>
          <m:t>∈（0,∞），</m:t>
        </m:r>
        <m:r>
          <m:rPr/>
          <w:rPr>
            <w:rFonts w:ascii="Cambria Math" w:hAnsi="Cambria Math"/>
            <w:szCs w:val="21"/>
          </w:rPr>
          <m:t>i∈N</m:t>
        </m:r>
      </m:oMath>
      <w:r>
        <w:rPr>
          <w:szCs w:val="21"/>
        </w:rPr>
        <w:t>，但一定时间内任一维知识的增长都不会超过某一常数,</w:t>
      </w:r>
      <m:oMath>
        <m:f>
          <m:fPr>
            <m:type m:val="skw"/>
            <m:ctrlPr>
              <w:rPr>
                <w:rFonts w:ascii="Cambria Math" w:hAnsi="Cambria Math"/>
                <w:i/>
                <w:szCs w:val="21"/>
              </w:rPr>
            </m:ctrlPr>
          </m:fPr>
          <m:num>
            <m:r>
              <m:rPr/>
              <w:rPr>
                <w:rFonts w:ascii="Cambria Math" w:hAnsi="Cambria Math"/>
                <w:szCs w:val="21"/>
              </w:rPr>
              <m:t>d</m:t>
            </m:r>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ctrlPr>
              <w:rPr>
                <w:rFonts w:ascii="Cambria Math" w:hAnsi="Cambria Math"/>
                <w:i/>
                <w:szCs w:val="21"/>
              </w:rPr>
            </m:ctrlPr>
          </m:num>
          <m:den>
            <m:r>
              <m:rPr/>
              <w:rPr>
                <w:rFonts w:ascii="Cambria Math" w:hAnsi="Cambria Math"/>
                <w:szCs w:val="21"/>
              </w:rPr>
              <m:t>dt</m:t>
            </m:r>
            <m:ctrlPr>
              <w:rPr>
                <w:rFonts w:ascii="Cambria Math" w:hAnsi="Cambria Math"/>
                <w:szCs w:val="21"/>
              </w:rPr>
            </m:ctrlPr>
          </m:den>
        </m:f>
        <m:r>
          <m:rPr>
            <m:sty m:val="p"/>
          </m:rPr>
          <w:rPr>
            <w:rFonts w:ascii="Cambria Math" w:hAnsi="Cambria Math"/>
            <w:szCs w:val="21"/>
          </w:rPr>
          <m:t>&lt;α,</m:t>
        </m:r>
        <m:r>
          <m:rPr/>
          <w:rPr>
            <w:rFonts w:ascii="Cambria Math" w:hAnsi="Cambria Math"/>
            <w:szCs w:val="21"/>
          </w:rPr>
          <m:t>i∈N</m:t>
        </m:r>
      </m:oMath>
      <w:r>
        <w:rPr>
          <w:szCs w:val="21"/>
        </w:rPr>
        <w:t>，的欧氏空间。</w:t>
      </w:r>
    </w:p>
    <w:p>
      <w:r>
        <w:t>基本假设三是对罗默关于知识假设的优化，表现在如下三个方面。</w:t>
      </w:r>
    </w:p>
    <w:p>
      <w:r>
        <w:t>第一，本文认为知识增加能产出性能更好或成本更低的产品而实现经济增长。知识是无限维，任一维知识无上限的变量，意味着知识增加能带来各种不同的新产品经济而实现经济单调持续无上限增长。罗默仅仅从宏观视角看知识，没有从微观视角看知识的异质性和新知识产出各种新产品。</w:t>
      </w:r>
    </w:p>
    <w:p>
      <w:r>
        <w:t>第二，本文假设知识是所有经济主体的内生变量。人口投资知识希望在市场竞争中获得更好的工资，私人部门企业投资知识搞研发和改善管理以提高市场竞争力，政府投资科学与技术研究以促进全经济体知识水平的提高。罗默假设知识仅仅是私人部门企业为盈利而投资的资本积累，是私人部门的内生变量。</w:t>
      </w:r>
    </w:p>
    <w:p>
      <w:r>
        <w:t>第三，本文假设一定时间内任一维知识的增长不超过某一常数意味着经济产出在一定时间内是有上限的。罗默假设一定时间内知识的增长不超过某一常数为满足索洛模型经济产出是收敛的条件。即本文假设短期经济产出有上限，新古典学派假设短期经济产出收敛。</w:t>
      </w:r>
    </w:p>
    <w:p>
      <w:pPr>
        <w:pStyle w:val="4"/>
        <w:ind w:firstLine="420"/>
      </w:pPr>
      <w:r>
        <w:t>（四）关于消费的假设</w:t>
      </w:r>
    </w:p>
    <w:p>
      <w:pPr>
        <w:rPr>
          <w:szCs w:val="21"/>
        </w:rPr>
      </w:pPr>
      <w:r>
        <w:rPr>
          <w:szCs w:val="21"/>
        </w:rPr>
        <w:t>阿罗</w:t>
      </w:r>
      <w:r>
        <w:rPr>
          <w:rFonts w:hint="eastAsia"/>
          <w:szCs w:val="21"/>
        </w:rPr>
        <w:t>-</w:t>
      </w:r>
      <w:r>
        <w:rPr>
          <w:szCs w:val="21"/>
        </w:rPr>
        <w:t>德布鲁</w:t>
      </w:r>
      <w:r>
        <w:rPr>
          <w:rFonts w:hint="eastAsia"/>
          <w:szCs w:val="21"/>
        </w:rPr>
        <w:t>一般均衡数学</w:t>
      </w:r>
      <w:r>
        <w:rPr>
          <w:szCs w:val="21"/>
        </w:rPr>
        <w:t>模型</w:t>
      </w:r>
      <w:r>
        <w:rPr>
          <w:rFonts w:hint="eastAsia"/>
          <w:szCs w:val="21"/>
        </w:rPr>
        <w:t>有</w:t>
      </w:r>
      <w:r>
        <w:rPr>
          <w:szCs w:val="21"/>
        </w:rPr>
        <w:t>关于商品消费</w:t>
      </w:r>
      <w:r>
        <w:rPr>
          <w:rFonts w:hint="eastAsia"/>
          <w:szCs w:val="21"/>
        </w:rPr>
        <w:t>优化</w:t>
      </w:r>
      <w:r>
        <w:rPr>
          <w:szCs w:val="21"/>
        </w:rPr>
        <w:t>的基本规律假设，其物理意义是商品生产不能很好地满足消费需求，消费应该节约。附录2已阐述，社会需求决定商品产出，普遍情形是商品生产能力大于商品消费能力，商品消费做效用时间优化不是经济活动的主要矛盾。因此，本文不对商品消费做基本规律假设。</w:t>
      </w:r>
    </w:p>
    <w:p>
      <w:pPr>
        <w:rPr>
          <w:szCs w:val="21"/>
        </w:rPr>
      </w:pPr>
      <w:r>
        <w:rPr>
          <w:szCs w:val="21"/>
        </w:rPr>
        <w:t>本文</w:t>
      </w:r>
      <w:r>
        <w:rPr>
          <w:rFonts w:hint="eastAsia"/>
          <w:szCs w:val="21"/>
          <w:lang w:val="en-US" w:eastAsia="zh-CN"/>
        </w:rPr>
        <w:t>关于市场经济微观</w:t>
      </w:r>
      <w:r>
        <w:rPr>
          <w:rFonts w:hint="default"/>
          <w:szCs w:val="21"/>
          <w:lang w:eastAsia="zh-CN"/>
        </w:rPr>
        <w:t>经济行为的</w:t>
      </w:r>
      <w:r>
        <w:rPr>
          <w:szCs w:val="21"/>
        </w:rPr>
        <w:t>基本规律假设一</w:t>
      </w:r>
      <w:r>
        <w:rPr>
          <w:rFonts w:hint="eastAsia"/>
          <w:szCs w:val="21"/>
          <w:lang w:val="en-US" w:eastAsia="zh-CN"/>
        </w:rPr>
        <w:t>是</w:t>
      </w:r>
      <w:r>
        <w:rPr>
          <w:szCs w:val="21"/>
        </w:rPr>
        <w:t>关于非投资品商品交换</w:t>
      </w:r>
      <w:r>
        <w:rPr>
          <w:rFonts w:hint="eastAsia"/>
          <w:szCs w:val="21"/>
          <w:lang w:val="en-US" w:eastAsia="zh-CN"/>
        </w:rPr>
        <w:t>的</w:t>
      </w:r>
      <w:r>
        <w:rPr>
          <w:szCs w:val="21"/>
        </w:rPr>
        <w:t>，基本规律假设二</w:t>
      </w:r>
      <w:r>
        <w:rPr>
          <w:rFonts w:hint="eastAsia"/>
          <w:szCs w:val="21"/>
          <w:lang w:val="en-US" w:eastAsia="zh-CN"/>
        </w:rPr>
        <w:t>是</w:t>
      </w:r>
      <w:r>
        <w:rPr>
          <w:szCs w:val="21"/>
        </w:rPr>
        <w:t>关于商品生产</w:t>
      </w:r>
      <w:r>
        <w:rPr>
          <w:rFonts w:hint="eastAsia"/>
          <w:szCs w:val="21"/>
          <w:lang w:val="en-US" w:eastAsia="zh-CN"/>
        </w:rPr>
        <w:t>的</w:t>
      </w:r>
      <w:r>
        <w:rPr>
          <w:szCs w:val="21"/>
        </w:rPr>
        <w:t>，基本规律假设三</w:t>
      </w:r>
      <w:r>
        <w:rPr>
          <w:rFonts w:hint="eastAsia"/>
          <w:szCs w:val="21"/>
          <w:lang w:val="en-US" w:eastAsia="zh-CN"/>
        </w:rPr>
        <w:t>是</w:t>
      </w:r>
      <w:r>
        <w:rPr>
          <w:szCs w:val="21"/>
        </w:rPr>
        <w:t>关于知识</w:t>
      </w:r>
      <w:r>
        <w:rPr>
          <w:rFonts w:hint="eastAsia"/>
          <w:szCs w:val="21"/>
          <w:lang w:val="en-US" w:eastAsia="zh-CN"/>
        </w:rPr>
        <w:t>的</w:t>
      </w:r>
      <w:r>
        <w:rPr>
          <w:szCs w:val="21"/>
        </w:rPr>
        <w:t>，这三个基本规律假设关于微观经济活动的不同方面，互相独立。这三个</w:t>
      </w:r>
      <w:r>
        <w:rPr>
          <w:rFonts w:hint="eastAsia"/>
          <w:szCs w:val="21"/>
          <w:lang w:val="en-US" w:eastAsia="zh-CN"/>
        </w:rPr>
        <w:t>关于市场经济的微观基本规律</w:t>
      </w:r>
      <w:r>
        <w:rPr>
          <w:szCs w:val="21"/>
        </w:rPr>
        <w:t>假设是对新古典学派阿罗</w:t>
      </w:r>
      <w:r>
        <w:rPr>
          <w:rFonts w:hint="eastAsia"/>
          <w:szCs w:val="21"/>
        </w:rPr>
        <w:t>-</w:t>
      </w:r>
      <w:r>
        <w:rPr>
          <w:szCs w:val="21"/>
        </w:rPr>
        <w:t>德布鲁</w:t>
      </w:r>
      <w:r>
        <w:rPr>
          <w:rFonts w:hint="eastAsia"/>
          <w:szCs w:val="21"/>
        </w:rPr>
        <w:t>一般均衡微观数学</w:t>
      </w:r>
      <w:r>
        <w:rPr>
          <w:szCs w:val="21"/>
        </w:rPr>
        <w:t>模型的优化</w:t>
      </w:r>
      <w:r>
        <w:rPr>
          <w:rFonts w:hint="eastAsia"/>
          <w:szCs w:val="21"/>
        </w:rPr>
        <w:t>和</w:t>
      </w:r>
      <w:r>
        <w:rPr>
          <w:szCs w:val="21"/>
        </w:rPr>
        <w:t>改进</w:t>
      </w:r>
      <w:r>
        <w:rPr>
          <w:rFonts w:hint="eastAsia"/>
          <w:szCs w:val="21"/>
          <w:lang w:eastAsia="zh-CN"/>
        </w:rPr>
        <w:t>，</w:t>
      </w:r>
      <w:r>
        <w:rPr>
          <w:rFonts w:hint="eastAsia"/>
          <w:szCs w:val="21"/>
          <w:lang w:val="en-US" w:eastAsia="zh-CN"/>
        </w:rPr>
        <w:t>是本文社会主义市场经济理论学派的微观基础数学模型</w:t>
      </w:r>
      <w:r>
        <w:rPr>
          <w:szCs w:val="21"/>
        </w:rPr>
        <w:t>。</w:t>
      </w:r>
    </w:p>
    <w:p>
      <w:pPr>
        <w:rPr>
          <w:rFonts w:asciiTheme="minorEastAsia" w:hAnsiTheme="minorEastAsia" w:eastAsiaTheme="minorEastAsia" w:cstheme="minorEastAsia"/>
          <w:szCs w:val="21"/>
        </w:rPr>
      </w:pPr>
    </w:p>
    <w:p>
      <w:pPr>
        <w:pStyle w:val="2"/>
        <w:ind w:firstLine="1680" w:firstLineChars="600"/>
        <w:jc w:val="both"/>
        <w:rPr>
          <w:rFonts w:hint="default" w:eastAsia="宋体"/>
          <w:lang w:val="en-US" w:eastAsia="zh-CN"/>
        </w:rPr>
      </w:pPr>
      <w:r>
        <w:rPr>
          <w:rFonts w:hint="eastAsia"/>
        </w:rPr>
        <w:t>四、</w:t>
      </w:r>
      <w:r>
        <w:rPr>
          <w:rFonts w:hint="eastAsia"/>
          <w:lang w:val="en-US" w:eastAsia="zh-CN"/>
        </w:rPr>
        <w:t>宏观基础数学模型</w:t>
      </w:r>
    </w:p>
    <w:p>
      <w:pPr>
        <w:pStyle w:val="4"/>
        <w:ind w:firstLine="420"/>
      </w:pPr>
      <w:r>
        <w:rPr>
          <w:rFonts w:hint="eastAsia"/>
        </w:rPr>
        <w:t>（一）</w:t>
      </w:r>
      <w:r>
        <w:rPr>
          <w:rFonts w:hint="eastAsia"/>
          <w:lang w:val="en-US" w:eastAsia="zh-CN"/>
        </w:rPr>
        <w:t>经济理论宏观基础数学</w:t>
      </w:r>
      <w:r>
        <w:rPr>
          <w:rFonts w:hint="eastAsia"/>
        </w:rPr>
        <w:t>模型</w:t>
      </w:r>
    </w:p>
    <w:p>
      <w:pPr>
        <w:rPr>
          <w:rFonts w:hint="default" w:asciiTheme="minorEastAsia" w:hAnsiTheme="minorEastAsia" w:eastAsiaTheme="minorEastAsia" w:cstheme="minorEastAsia"/>
        </w:rPr>
      </w:pPr>
      <w:r>
        <w:rPr>
          <w:rFonts w:hint="default" w:asciiTheme="minorEastAsia" w:hAnsiTheme="minorEastAsia" w:eastAsiaTheme="minorEastAsia" w:cstheme="minorEastAsia"/>
        </w:rPr>
        <w:t>新古典学派</w:t>
      </w:r>
      <w:r>
        <w:rPr>
          <w:rFonts w:hint="eastAsia" w:asciiTheme="minorEastAsia" w:hAnsiTheme="minorEastAsia" w:eastAsiaTheme="minorEastAsia" w:cstheme="minorEastAsia"/>
          <w:lang w:val="en-US" w:eastAsia="zh-CN"/>
        </w:rPr>
        <w:t>宏观基础数学模型为</w:t>
      </w:r>
      <w:r>
        <w:rPr>
          <w:rFonts w:hint="default" w:asciiTheme="minorEastAsia" w:hAnsiTheme="minorEastAsia" w:eastAsiaTheme="minorEastAsia" w:cstheme="minorEastAsia"/>
        </w:rPr>
        <w:t>索洛经济增长模型</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凯恩斯学派基础数学模型为</w:t>
      </w:r>
      <w:r>
        <w:rPr>
          <w:rFonts w:hint="default" w:asciiTheme="minorEastAsia" w:hAnsiTheme="minorEastAsia" w:eastAsiaTheme="minorEastAsia" w:cstheme="minorEastAsia"/>
        </w:rPr>
        <w:t>希克斯IS-LM模型。索洛</w:t>
      </w:r>
      <w:r>
        <w:rPr>
          <w:rFonts w:hint="eastAsia" w:asciiTheme="minorEastAsia" w:hAnsiTheme="minorEastAsia" w:eastAsiaTheme="minorEastAsia" w:cstheme="minorEastAsia"/>
          <w:lang w:val="en-US" w:eastAsia="zh-CN"/>
        </w:rPr>
        <w:t>经济增长</w:t>
      </w:r>
      <w:r>
        <w:rPr>
          <w:rFonts w:hint="default" w:asciiTheme="minorEastAsia" w:hAnsiTheme="minorEastAsia" w:eastAsiaTheme="minorEastAsia" w:cstheme="minorEastAsia"/>
        </w:rPr>
        <w:t>模型过于简单，卢卡斯</w:t>
      </w:r>
      <w:r>
        <w:rPr>
          <w:rFonts w:hint="eastAsia" w:asciiTheme="minorEastAsia" w:hAnsiTheme="minorEastAsia" w:eastAsiaTheme="minorEastAsia" w:cstheme="minorEastAsia"/>
          <w:lang w:eastAsia="zh-CN"/>
        </w:rPr>
        <w:t>（</w:t>
      </w:r>
      <w:r>
        <w:t>Lucas Jr, 1975</w:t>
      </w:r>
      <w:r>
        <w:rPr>
          <w:rFonts w:hint="eastAsia"/>
          <w:lang w:eastAsia="zh-CN"/>
        </w:rPr>
        <w:t>，</w:t>
      </w:r>
      <w:r>
        <w:rPr>
          <w:rFonts w:hint="eastAsia"/>
          <w:lang w:val="en-US" w:eastAsia="zh-CN"/>
        </w:rPr>
        <w:t>1988</w:t>
      </w:r>
      <w:r>
        <w:t>)</w:t>
      </w:r>
      <w:r>
        <w:rPr>
          <w:rFonts w:hint="default" w:asciiTheme="minorEastAsia" w:hAnsiTheme="minorEastAsia" w:eastAsiaTheme="minorEastAsia" w:cstheme="minorEastAsia"/>
        </w:rPr>
        <w:t>、罗默</w:t>
      </w:r>
      <w:r>
        <w:fldChar w:fldCharType="begin"/>
      </w:r>
      <w:r>
        <w:instrText xml:space="preserve"> ADDIN EN.CITE &lt;EndNote&gt;&lt;Cite&gt;&lt;Author&gt;Romer&lt;/Author&gt;&lt;Year&gt;1990&lt;/Year&gt;&lt;RecNum&gt;957&lt;/RecNum&gt;&lt;DisplayText&gt;(Romer, 1990)&lt;/DisplayText&gt;&lt;record&gt;&lt;rec-number&gt;957&lt;/rec-number&gt;&lt;foreign-keys&gt;&lt;key app="EN" db-id="dfw50pzpwrep2aeerx4v2xdyaa5vzeftr0xv" timestamp="1674198112"&gt;957&lt;/key&gt;&lt;/foreign-keys&gt;&lt;ref-type name="Journal Article"&gt;17&lt;/ref-type&gt;&lt;contributors&gt;&lt;authors&gt;&lt;author&gt;Romer, Paul M.&lt;/author&gt;&lt;/authors&gt;&lt;/contributors&gt;&lt;titles&gt;&lt;title&gt;Endogenous technological change&lt;/title&gt;&lt;secondary-title&gt;Journal of political Economy&lt;/secondary-title&gt;&lt;/titles&gt;&lt;periodical&gt;&lt;full-title&gt;Journal of political economy&lt;/full-title&gt;&lt;/periodical&gt;&lt;pages&gt;S71-S102&lt;/pages&gt;&lt;volume&gt;98&lt;/volume&gt;&lt;number&gt;5, Part 2&lt;/number&gt;&lt;dates&gt;&lt;year&gt;1990&lt;/year&gt;&lt;/dates&gt;&lt;publisher&gt;The University of Chicago Press&lt;/publisher&gt;&lt;isbn&gt;0022-3808&lt;/isbn&gt;&lt;urls&gt;&lt;/urls&gt;&lt;/record&gt;&lt;/Cite&gt;&lt;/EndNote&gt;</w:instrText>
      </w:r>
      <w:r>
        <w:fldChar w:fldCharType="separate"/>
      </w:r>
      <w:r>
        <w:t>(Romer, 1990)</w:t>
      </w:r>
      <w:r>
        <w:fldChar w:fldCharType="end"/>
      </w:r>
      <w:r>
        <w:rPr>
          <w:rFonts w:hint="default"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鲍勃和</w:t>
      </w:r>
      <w:r>
        <w:rPr>
          <w:rFonts w:hint="default" w:asciiTheme="minorEastAsia" w:hAnsiTheme="minorEastAsia" w:eastAsiaTheme="minorEastAsia" w:cstheme="minorEastAsia"/>
        </w:rPr>
        <w:t>曼昆</w:t>
      </w:r>
      <w:r>
        <w:fldChar w:fldCharType="begin"/>
      </w:r>
      <w:r>
        <w:instrText xml:space="preserve"> ADDIN EN.CITE &lt;EndNote&gt;&lt;Cite&gt;&lt;Author&gt;Ball&lt;/Author&gt;&lt;Year&gt;2021&lt;/Year&gt;&lt;RecNum&gt;944&lt;/RecNum&gt;&lt;DisplayText&gt;(Ball &amp;amp; Mankiw, 2021)&lt;/DisplayText&gt;&lt;record&gt;&lt;rec-number&gt;944&lt;/rec-number&gt;&lt;foreign-keys&gt;&lt;key app="EN" db-id="dfw50pzpwrep2aeerx4v2xdyaa5vzeftr0xv" timestamp="1674197547"&gt;944&lt;/key&gt;&lt;/foreign-keys&gt;&lt;ref-type name="Report"&gt;27&lt;/ref-type&gt;&lt;contributors&gt;&lt;authors&gt;&lt;author&gt;Ball, Laurence M.&lt;/author&gt;&lt;author&gt;Mankiw, N. Gregory&lt;/author&gt;&lt;/authors&gt;&lt;/contributors&gt;&lt;titles&gt;&lt;title&gt;Market power in neoclassical growth models&lt;/title&gt;&lt;/titles&gt;&lt;dates&gt;&lt;year&gt;2021&lt;/year&gt;&lt;/dates&gt;&lt;publisher&gt;National Bureau of Economic Research&lt;/publisher&gt;&lt;urls&gt;&lt;/urls&gt;&lt;/record&gt;&lt;/Cite&gt;&lt;/EndNote&gt;</w:instrText>
      </w:r>
      <w:r>
        <w:fldChar w:fldCharType="separate"/>
      </w:r>
      <w:r>
        <w:t>(Ball &amp; Mankiw, 2021)</w:t>
      </w:r>
      <w:r>
        <w:fldChar w:fldCharType="end"/>
      </w:r>
      <w:r>
        <w:rPr>
          <w:rFonts w:hint="default" w:asciiTheme="minorEastAsia" w:hAnsiTheme="minorEastAsia" w:eastAsiaTheme="minorEastAsia" w:cstheme="minorEastAsia"/>
        </w:rPr>
        <w:t>分别对其做了完善和补充。</w:t>
      </w:r>
    </w:p>
    <w:p>
      <w:pPr>
        <w:rPr>
          <w:rFonts w:hint="default" w:asciiTheme="minorEastAsia" w:hAnsiTheme="minorEastAsia" w:eastAsiaTheme="minorEastAsia" w:cstheme="minorEastAsia"/>
        </w:rPr>
      </w:pPr>
      <w:r>
        <w:rPr>
          <w:rFonts w:hint="default" w:asciiTheme="minorEastAsia" w:hAnsiTheme="minorEastAsia" w:eastAsiaTheme="minorEastAsia" w:cstheme="minorEastAsia"/>
        </w:rPr>
        <w:t>现实市场经济的经济主体是异质性的，具体的商品和服务是异质性的，因此现实微观经济是异质性的。宏观经济研究市场经济体的总量行为，理论上应以经济主体和具体商品和服务同质性为前提。微观经济的异质性与宏观经济的同质性要求意味着无法由微观经济理论数学模型的基本规律假设推导</w:t>
      </w:r>
      <w:r>
        <w:rPr>
          <w:rFonts w:hint="eastAsia" w:asciiTheme="minorEastAsia" w:hAnsiTheme="minorEastAsia" w:eastAsiaTheme="minorEastAsia" w:cstheme="minorEastAsia"/>
          <w:lang w:val="en-US" w:eastAsia="zh-CN"/>
        </w:rPr>
        <w:t>出</w:t>
      </w:r>
      <w:r>
        <w:rPr>
          <w:rFonts w:hint="default" w:asciiTheme="minorEastAsia" w:hAnsiTheme="minorEastAsia" w:eastAsiaTheme="minorEastAsia" w:cstheme="minorEastAsia"/>
        </w:rPr>
        <w:t>宏观经济理论数学模型的基本规律假设，即宏观经济理论</w:t>
      </w:r>
      <w:r>
        <w:rPr>
          <w:rFonts w:hint="eastAsia" w:asciiTheme="minorEastAsia" w:hAnsiTheme="minorEastAsia" w:eastAsiaTheme="minorEastAsia" w:cstheme="minorEastAsia"/>
          <w:lang w:val="en-US" w:eastAsia="zh-CN"/>
        </w:rPr>
        <w:t>基础</w:t>
      </w:r>
      <w:r>
        <w:rPr>
          <w:rFonts w:hint="default" w:asciiTheme="minorEastAsia" w:hAnsiTheme="minorEastAsia" w:eastAsiaTheme="minorEastAsia" w:cstheme="minorEastAsia"/>
        </w:rPr>
        <w:t>数学模型应有自身的</w:t>
      </w:r>
      <w:r>
        <w:rPr>
          <w:rFonts w:hint="eastAsia" w:asciiTheme="minorEastAsia" w:hAnsiTheme="minorEastAsia" w:eastAsiaTheme="minorEastAsia" w:cstheme="minorEastAsia"/>
          <w:lang w:val="en-US" w:eastAsia="zh-CN"/>
        </w:rPr>
        <w:t>关于市场经济的</w:t>
      </w:r>
      <w:r>
        <w:rPr>
          <w:rFonts w:hint="default" w:asciiTheme="minorEastAsia" w:hAnsiTheme="minorEastAsia" w:eastAsiaTheme="minorEastAsia" w:cstheme="minorEastAsia"/>
        </w:rPr>
        <w:t>基本规律假设。</w:t>
      </w:r>
    </w:p>
    <w:p>
      <w:pPr>
        <w:ind w:left="0" w:leftChars="0" w:firstLine="0" w:firstLineChars="0"/>
        <w:rPr>
          <w:rFonts w:hint="default" w:asciiTheme="minorEastAsia" w:hAnsiTheme="minorEastAsia" w:eastAsiaTheme="minorEastAsia" w:cstheme="minorEastAsia"/>
        </w:rPr>
      </w:pPr>
      <w:r>
        <w:rPr>
          <w:rFonts w:hint="default" w:asciiTheme="minorEastAsia" w:hAnsiTheme="minorEastAsia" w:eastAsiaTheme="minorEastAsia" w:cstheme="minorEastAsia"/>
        </w:rPr>
        <w:t xml:space="preserve">    上述</w:t>
      </w:r>
      <w:r>
        <w:rPr>
          <w:rFonts w:hint="eastAsia" w:asciiTheme="minorEastAsia" w:hAnsiTheme="minorEastAsia" w:eastAsiaTheme="minorEastAsia" w:cstheme="minorEastAsia"/>
          <w:lang w:val="en-US" w:eastAsia="zh-CN"/>
        </w:rPr>
        <w:t>新古典学派宏观基础数学模型</w:t>
      </w:r>
      <w:r>
        <w:rPr>
          <w:rFonts w:hint="default" w:asciiTheme="minorEastAsia" w:hAnsiTheme="minorEastAsia" w:eastAsiaTheme="minorEastAsia" w:cstheme="minorEastAsia"/>
        </w:rPr>
        <w:t>索洛</w:t>
      </w:r>
      <w:r>
        <w:rPr>
          <w:rFonts w:hint="eastAsia" w:asciiTheme="minorEastAsia" w:hAnsiTheme="minorEastAsia" w:eastAsiaTheme="minorEastAsia" w:cstheme="minorEastAsia"/>
          <w:lang w:val="en-US" w:eastAsia="zh-CN"/>
        </w:rPr>
        <w:t>经济增长模型</w:t>
      </w:r>
      <w:r>
        <w:rPr>
          <w:rFonts w:hint="default" w:asciiTheme="minorEastAsia" w:hAnsiTheme="minorEastAsia" w:eastAsiaTheme="minorEastAsia" w:cstheme="minorEastAsia"/>
        </w:rPr>
        <w:t>和</w:t>
      </w:r>
      <w:r>
        <w:rPr>
          <w:rFonts w:hint="eastAsia" w:asciiTheme="minorEastAsia" w:hAnsiTheme="minorEastAsia" w:eastAsiaTheme="minorEastAsia" w:cstheme="minorEastAsia"/>
          <w:lang w:val="en-US" w:eastAsia="zh-CN"/>
        </w:rPr>
        <w:t>凯恩斯学派宏观基础数学模型</w:t>
      </w:r>
      <w:r>
        <w:rPr>
          <w:rFonts w:hint="default" w:asciiTheme="minorEastAsia" w:hAnsiTheme="minorEastAsia" w:eastAsiaTheme="minorEastAsia" w:cstheme="minorEastAsia"/>
        </w:rPr>
        <w:t>希克斯</w:t>
      </w:r>
      <w:r>
        <w:rPr>
          <w:rFonts w:hint="eastAsia" w:asciiTheme="minorEastAsia" w:hAnsiTheme="minorEastAsia" w:eastAsiaTheme="minorEastAsia" w:cstheme="minorEastAsia"/>
          <w:lang w:val="en-US" w:eastAsia="zh-CN"/>
        </w:rPr>
        <w:t>IS-LM</w:t>
      </w:r>
      <w:r>
        <w:rPr>
          <w:rFonts w:hint="default" w:asciiTheme="minorEastAsia" w:hAnsiTheme="minorEastAsia" w:eastAsiaTheme="minorEastAsia" w:cstheme="minorEastAsia"/>
        </w:rPr>
        <w:t>模型正反映了</w:t>
      </w:r>
      <w:r>
        <w:rPr>
          <w:rFonts w:hint="eastAsia" w:asciiTheme="minorEastAsia" w:hAnsiTheme="minorEastAsia" w:eastAsiaTheme="minorEastAsia" w:cstheme="minorEastAsia"/>
          <w:lang w:val="en-US" w:eastAsia="zh-CN"/>
        </w:rPr>
        <w:t>这种</w:t>
      </w:r>
      <w:r>
        <w:rPr>
          <w:rFonts w:hint="default" w:asciiTheme="minorEastAsia" w:hAnsiTheme="minorEastAsia" w:eastAsiaTheme="minorEastAsia" w:cstheme="minorEastAsia"/>
        </w:rPr>
        <w:t>情况。索洛模型中r=K/L曲线的特性，即</w:t>
      </w:r>
      <w:r>
        <w:rPr>
          <w:rFonts w:hint="eastAsia" w:asciiTheme="minorEastAsia" w:hAnsiTheme="minorEastAsia" w:eastAsiaTheme="minorEastAsia" w:cstheme="minorEastAsia"/>
          <w:lang w:val="en-US" w:eastAsia="zh-CN"/>
        </w:rPr>
        <w:t>曲线n</w:t>
      </w:r>
      <w:r>
        <w:rPr>
          <w:rFonts w:hint="default" w:asciiTheme="minorEastAsia" w:hAnsiTheme="minorEastAsia" w:eastAsiaTheme="minorEastAsia" w:cstheme="minorEastAsia"/>
        </w:rPr>
        <w:t>r</w:t>
      </w:r>
      <w:r>
        <w:rPr>
          <w:rFonts w:hint="eastAsia" w:asciiTheme="minorEastAsia" w:hAnsiTheme="minorEastAsia" w:eastAsiaTheme="minorEastAsia" w:cstheme="minorEastAsia"/>
          <w:lang w:val="en-US" w:eastAsia="zh-CN"/>
        </w:rPr>
        <w:t>与曲线sf(r,1)的某个</w:t>
      </w:r>
      <w:r>
        <w:rPr>
          <w:rFonts w:hint="default" w:asciiTheme="minorEastAsia" w:hAnsiTheme="minorEastAsia" w:eastAsiaTheme="minorEastAsia" w:cstheme="minorEastAsia"/>
        </w:rPr>
        <w:t>相交点为稳定均衡点，这实际是索洛</w:t>
      </w:r>
      <w:r>
        <w:rPr>
          <w:rFonts w:hint="eastAsia" w:asciiTheme="minorEastAsia" w:hAnsiTheme="minorEastAsia" w:eastAsiaTheme="minorEastAsia" w:cstheme="minorEastAsia"/>
          <w:lang w:val="en-US" w:eastAsia="zh-CN"/>
        </w:rPr>
        <w:t>经济增长</w:t>
      </w:r>
      <w:r>
        <w:rPr>
          <w:rFonts w:hint="default" w:asciiTheme="minorEastAsia" w:hAnsiTheme="minorEastAsia" w:eastAsiaTheme="minorEastAsia" w:cstheme="minorEastAsia"/>
        </w:rPr>
        <w:t>模型关于市场经济的宏观基本规律假设。同样，希克斯IS-LM模型的</w:t>
      </w:r>
      <w:r>
        <w:rPr>
          <w:rFonts w:hint="eastAsia" w:asciiTheme="minorEastAsia" w:hAnsiTheme="minorEastAsia" w:eastAsiaTheme="minorEastAsia" w:cstheme="minorEastAsia"/>
          <w:lang w:val="en-US" w:eastAsia="zh-CN"/>
        </w:rPr>
        <w:t>IS曲线与LM曲线的</w:t>
      </w:r>
      <w:r>
        <w:rPr>
          <w:rFonts w:hint="default" w:asciiTheme="minorEastAsia" w:hAnsiTheme="minorEastAsia" w:eastAsiaTheme="minorEastAsia" w:cstheme="minorEastAsia"/>
        </w:rPr>
        <w:t>特性，即IS，LM两条曲线的相交点为均衡利率点，对应的经济产出为均衡产出，这也是希克斯模型关于市场经济的宏观基本规律假设。比如，新古典宏观模型索洛经济增长模型的关于市场经济的宏观基本规律假设不是由新古典微观模型阿罗-德布鲁的一般均衡推导而来。当然，一般均衡模型关于市场经济的基本规律假设对索洛经济增长模型关于市场经济的基本规律假设有方向性指引意义。</w:t>
      </w:r>
    </w:p>
    <w:p>
      <w:pPr>
        <w:ind w:left="0" w:leftChars="0" w:firstLine="420" w:firstLineChars="0"/>
        <w:rPr>
          <w:rFonts w:hint="default" w:asciiTheme="minorEastAsia" w:hAnsiTheme="minorEastAsia" w:eastAsiaTheme="minorEastAsia" w:cstheme="minorEastAsia"/>
        </w:rPr>
      </w:pPr>
      <w:r>
        <w:rPr>
          <w:rFonts w:hint="default" w:asciiTheme="minorEastAsia" w:hAnsiTheme="minorEastAsia" w:eastAsiaTheme="minorEastAsia" w:cstheme="minorEastAsia"/>
        </w:rPr>
        <w:t>本文宏观</w:t>
      </w:r>
      <w:r>
        <w:rPr>
          <w:rFonts w:hint="eastAsia" w:asciiTheme="minorEastAsia" w:hAnsiTheme="minorEastAsia" w:eastAsiaTheme="minorEastAsia" w:cstheme="minorEastAsia"/>
          <w:lang w:val="en-US" w:eastAsia="zh-CN"/>
        </w:rPr>
        <w:t>基础数学</w:t>
      </w:r>
      <w:r>
        <w:rPr>
          <w:rFonts w:hint="default" w:asciiTheme="minorEastAsia" w:hAnsiTheme="minorEastAsia" w:eastAsiaTheme="minorEastAsia" w:cstheme="minorEastAsia"/>
        </w:rPr>
        <w:t>模型的构建仿索洛</w:t>
      </w:r>
      <w:r>
        <w:rPr>
          <w:rFonts w:hint="eastAsia" w:asciiTheme="minorEastAsia" w:hAnsiTheme="minorEastAsia" w:eastAsiaTheme="minorEastAsia" w:cstheme="minorEastAsia"/>
          <w:lang w:val="en-US" w:eastAsia="zh-CN"/>
        </w:rPr>
        <w:t>经济增长</w:t>
      </w:r>
      <w:r>
        <w:rPr>
          <w:rFonts w:hint="default" w:asciiTheme="minorEastAsia" w:hAnsiTheme="minorEastAsia" w:eastAsiaTheme="minorEastAsia" w:cstheme="minorEastAsia"/>
        </w:rPr>
        <w:t>模型</w:t>
      </w:r>
      <w:r>
        <w:rPr>
          <w:rFonts w:hint="eastAsia" w:asciiTheme="minorEastAsia" w:hAnsiTheme="minorEastAsia" w:eastAsiaTheme="minorEastAsia" w:cstheme="minorEastAsia"/>
          <w:lang w:val="en-US" w:eastAsia="zh-CN"/>
        </w:rPr>
        <w:t>和</w:t>
      </w:r>
      <w:r>
        <w:rPr>
          <w:rFonts w:hint="default" w:asciiTheme="minorEastAsia" w:hAnsiTheme="minorEastAsia" w:eastAsiaTheme="minorEastAsia" w:cstheme="minorEastAsia"/>
        </w:rPr>
        <w:t>希克斯</w:t>
      </w:r>
      <w:r>
        <w:rPr>
          <w:rFonts w:hint="eastAsia" w:asciiTheme="minorEastAsia" w:hAnsiTheme="minorEastAsia" w:eastAsiaTheme="minorEastAsia" w:cstheme="minorEastAsia"/>
          <w:lang w:val="en-US" w:eastAsia="zh-CN"/>
        </w:rPr>
        <w:t>IS-LM</w:t>
      </w:r>
      <w:r>
        <w:rPr>
          <w:rFonts w:hint="default" w:asciiTheme="minorEastAsia" w:hAnsiTheme="minorEastAsia" w:eastAsiaTheme="minorEastAsia" w:cstheme="minorEastAsia"/>
        </w:rPr>
        <w:t>模型的构建路径，选定</w:t>
      </w:r>
      <w:r>
        <w:rPr>
          <w:rFonts w:hint="eastAsia"/>
        </w:rPr>
        <w:t>名义价格社会产出与货币供应量增长率、不变价格社会产出与货币供应量增长率和通货膨胀率与货币供应量增长率关系</w:t>
      </w:r>
      <w:r>
        <w:rPr>
          <w:rFonts w:hint="eastAsia"/>
          <w:lang w:val="en-US" w:eastAsia="zh-CN"/>
        </w:rPr>
        <w:t>三条宏观经济变量关系</w:t>
      </w:r>
      <w:r>
        <w:rPr>
          <w:rFonts w:hint="eastAsia"/>
        </w:rPr>
        <w:t>曲线</w:t>
      </w:r>
      <w:r>
        <w:rPr>
          <w:rFonts w:hint="default" w:asciiTheme="minorEastAsia" w:hAnsiTheme="minorEastAsia" w:eastAsiaTheme="minorEastAsia" w:cstheme="minorEastAsia"/>
        </w:rPr>
        <w:t>，对</w:t>
      </w:r>
      <w:r>
        <w:rPr>
          <w:rFonts w:hint="eastAsia" w:asciiTheme="minorEastAsia" w:hAnsiTheme="minorEastAsia" w:eastAsiaTheme="minorEastAsia" w:cstheme="minorEastAsia"/>
          <w:lang w:val="en-US" w:eastAsia="zh-CN"/>
        </w:rPr>
        <w:t>这三条曲线的</w:t>
      </w:r>
      <w:r>
        <w:rPr>
          <w:rFonts w:hint="default" w:asciiTheme="minorEastAsia" w:hAnsiTheme="minorEastAsia" w:eastAsiaTheme="minorEastAsia" w:cstheme="minorEastAsia"/>
        </w:rPr>
        <w:t>特性做出</w:t>
      </w:r>
      <w:r>
        <w:rPr>
          <w:rFonts w:hint="eastAsia" w:asciiTheme="minorEastAsia" w:hAnsiTheme="minorEastAsia" w:eastAsiaTheme="minorEastAsia" w:cstheme="minorEastAsia"/>
          <w:lang w:val="en-US" w:eastAsia="zh-CN"/>
        </w:rPr>
        <w:t>假设</w:t>
      </w:r>
      <w:r>
        <w:rPr>
          <w:rFonts w:hint="default" w:asciiTheme="minorEastAsia" w:hAnsiTheme="minorEastAsia" w:eastAsiaTheme="minorEastAsia" w:cstheme="minorEastAsia"/>
        </w:rPr>
        <w:t>作为</w:t>
      </w:r>
      <w:r>
        <w:rPr>
          <w:rFonts w:hint="eastAsia" w:asciiTheme="minorEastAsia" w:hAnsiTheme="minorEastAsia" w:eastAsiaTheme="minorEastAsia" w:cstheme="minorEastAsia"/>
          <w:lang w:val="en-US" w:eastAsia="zh-CN"/>
        </w:rPr>
        <w:t>本文社会主义市场经济</w:t>
      </w:r>
      <w:r>
        <w:rPr>
          <w:rFonts w:hint="default" w:asciiTheme="minorEastAsia" w:hAnsiTheme="minorEastAsia" w:eastAsiaTheme="minorEastAsia" w:cstheme="minorEastAsia"/>
          <w:lang w:eastAsia="zh-CN"/>
        </w:rPr>
        <w:t>宏观经济行为</w:t>
      </w:r>
      <w:r>
        <w:rPr>
          <w:rFonts w:hint="eastAsia" w:asciiTheme="minorEastAsia" w:hAnsiTheme="minorEastAsia" w:eastAsiaTheme="minorEastAsia" w:cstheme="minorEastAsia"/>
          <w:lang w:val="en-US" w:eastAsia="zh-CN"/>
        </w:rPr>
        <w:t>的基本规律假设</w:t>
      </w:r>
      <w:r>
        <w:rPr>
          <w:rFonts w:hint="default" w:asciiTheme="minorEastAsia" w:hAnsiTheme="minorEastAsia" w:eastAsiaTheme="minorEastAsia" w:cstheme="minorEastAsia"/>
        </w:rPr>
        <w:t xml:space="preserve">。 </w:t>
      </w:r>
    </w:p>
    <w:p>
      <w:pPr>
        <w:ind w:left="0" w:leftChars="0" w:firstLine="420" w:firstLineChars="0"/>
        <w:rPr>
          <w:rFonts w:hint="default" w:asciiTheme="minorEastAsia" w:hAnsiTheme="minorEastAsia" w:eastAsiaTheme="minorEastAsia" w:cstheme="minorEastAsia"/>
        </w:rPr>
      </w:pPr>
      <w:r>
        <w:rPr>
          <w:rFonts w:hint="default" w:asciiTheme="minorEastAsia" w:hAnsiTheme="minorEastAsia" w:eastAsiaTheme="minorEastAsia" w:cstheme="minorEastAsia"/>
        </w:rPr>
        <w:t>如同新古典宏观基础数学模型索洛经济增长模型以亚当斯密《国富论》为基础，凯恩斯学派基础数学模型希克斯IS-LM模型受凯恩斯的《通论》影响，本文</w:t>
      </w:r>
      <w:r>
        <w:rPr>
          <w:rFonts w:hint="eastAsia" w:asciiTheme="minorEastAsia" w:hAnsiTheme="minorEastAsia" w:eastAsiaTheme="minorEastAsia" w:cstheme="minorEastAsia"/>
          <w:lang w:val="en-US" w:eastAsia="zh-CN"/>
        </w:rPr>
        <w:t>社会主义市场经济理论</w:t>
      </w:r>
      <w:r>
        <w:rPr>
          <w:rFonts w:hint="default" w:asciiTheme="minorEastAsia" w:hAnsiTheme="minorEastAsia" w:eastAsiaTheme="minorEastAsia" w:cstheme="minorEastAsia"/>
        </w:rPr>
        <w:t>宏观</w:t>
      </w:r>
      <w:r>
        <w:rPr>
          <w:rFonts w:hint="eastAsia" w:asciiTheme="minorEastAsia" w:hAnsiTheme="minorEastAsia" w:eastAsiaTheme="minorEastAsia" w:cstheme="minorEastAsia"/>
          <w:lang w:val="en-US" w:eastAsia="zh-CN"/>
        </w:rPr>
        <w:t>基础数学</w:t>
      </w:r>
      <w:r>
        <w:rPr>
          <w:rFonts w:hint="default" w:asciiTheme="minorEastAsia" w:hAnsiTheme="minorEastAsia" w:eastAsiaTheme="minorEastAsia" w:cstheme="minorEastAsia"/>
        </w:rPr>
        <w:t>模型</w:t>
      </w:r>
      <w:r>
        <w:rPr>
          <w:rFonts w:hint="eastAsia" w:asciiTheme="minorEastAsia" w:hAnsiTheme="minorEastAsia" w:eastAsiaTheme="minorEastAsia" w:cstheme="minorEastAsia"/>
        </w:rPr>
        <w:t>以马克思的《资本论》和习近平总书记等几代中共领导人关于社会主义市场经济的论述为经济思想基础</w:t>
      </w:r>
      <w:r>
        <w:rPr>
          <w:rFonts w:hint="default" w:asciiTheme="minorEastAsia" w:hAnsiTheme="minorEastAsia" w:eastAsiaTheme="minorEastAsia" w:cstheme="minorEastAsia"/>
        </w:rPr>
        <w:t>。在形式逻辑方面，本文社会主义市场经济宏观基础数学模型</w:t>
      </w:r>
      <w:r>
        <w:rPr>
          <w:rFonts w:hint="eastAsia" w:asciiTheme="minorEastAsia" w:hAnsiTheme="minorEastAsia" w:eastAsiaTheme="minorEastAsia" w:cstheme="minorEastAsia"/>
        </w:rPr>
        <w:t>综合吸收</w:t>
      </w:r>
      <w:r>
        <w:rPr>
          <w:rFonts w:hint="default" w:asciiTheme="minorEastAsia" w:hAnsiTheme="minorEastAsia" w:eastAsiaTheme="minorEastAsia" w:cstheme="minorEastAsia"/>
        </w:rPr>
        <w:t>了</w:t>
      </w:r>
      <w:r>
        <w:rPr>
          <w:rFonts w:hint="eastAsia" w:asciiTheme="minorEastAsia" w:hAnsiTheme="minorEastAsia" w:eastAsiaTheme="minorEastAsia" w:cstheme="minorEastAsia"/>
        </w:rPr>
        <w:t>新古典学派和凯恩斯学派的研究成果</w:t>
      </w:r>
      <w:r>
        <w:rPr>
          <w:rFonts w:hint="eastAsia"/>
        </w:rPr>
        <w:t>。</w:t>
      </w:r>
    </w:p>
    <w:p>
      <w:pPr>
        <w:pStyle w:val="4"/>
        <w:ind w:firstLine="420"/>
      </w:pPr>
      <w:r>
        <w:rPr>
          <w:rFonts w:hint="default" w:asciiTheme="minorEastAsia" w:hAnsiTheme="minorEastAsia" w:eastAsiaTheme="minorEastAsia" w:cstheme="minorEastAsia"/>
        </w:rPr>
        <w:t xml:space="preserve"> </w:t>
      </w:r>
      <w:r>
        <w:rPr>
          <w:rFonts w:hint="eastAsia"/>
        </w:rPr>
        <w:t>（</w:t>
      </w:r>
      <w:r>
        <w:rPr>
          <w:rFonts w:hint="eastAsia"/>
          <w:lang w:val="en-US" w:eastAsia="zh-CN"/>
        </w:rPr>
        <w:t>二</w:t>
      </w:r>
      <w:r>
        <w:rPr>
          <w:rFonts w:hint="eastAsia"/>
        </w:rPr>
        <w:t>）</w:t>
      </w:r>
      <w:r>
        <w:rPr>
          <w:rFonts w:hint="eastAsia"/>
          <w:lang w:val="en-US" w:eastAsia="zh-CN"/>
        </w:rPr>
        <w:t>本文宏观基础数学</w:t>
      </w:r>
      <w:r>
        <w:rPr>
          <w:rFonts w:hint="eastAsia"/>
        </w:rPr>
        <w:t>模型</w:t>
      </w:r>
      <w:r>
        <w:rPr>
          <w:rFonts w:hint="eastAsia"/>
          <w:lang w:val="en-US" w:eastAsia="zh-CN"/>
        </w:rPr>
        <w:t>封闭模型的</w:t>
      </w:r>
      <w:r>
        <w:rPr>
          <w:rFonts w:hint="eastAsia"/>
        </w:rPr>
        <w:t>描述</w:t>
      </w:r>
    </w:p>
    <w:p>
      <w:pPr>
        <w:ind w:left="0" w:leftChars="0" w:firstLine="0" w:firstLineChars="0"/>
      </w:pPr>
      <w:r>
        <w:rPr>
          <w:rFonts w:hint="default" w:asciiTheme="minorEastAsia" w:hAnsiTheme="minorEastAsia" w:eastAsiaTheme="minorEastAsia" w:cstheme="minorEastAsia"/>
        </w:rPr>
        <w:t xml:space="preserve">   </w:t>
      </w:r>
      <w:r>
        <w:rPr>
          <w:rFonts w:hint="default"/>
        </w:rPr>
        <w:t xml:space="preserve"> </w:t>
      </w:r>
      <w:r>
        <w:rPr>
          <w:rFonts w:hint="eastAsia"/>
        </w:rPr>
        <w:t>这里先讨论</w:t>
      </w:r>
      <w:r>
        <w:t>没有</w:t>
      </w:r>
      <w:r>
        <w:rPr>
          <w:rFonts w:hint="eastAsia"/>
        </w:rPr>
        <w:t>国际经济的封闭的政府管理的市场经济</w:t>
      </w:r>
      <w:r>
        <w:rPr>
          <w:rFonts w:hint="default"/>
        </w:rPr>
        <w:t>宏观</w:t>
      </w:r>
      <w:r>
        <w:rPr>
          <w:rFonts w:hint="eastAsia"/>
        </w:rPr>
        <w:t>模型，然后</w:t>
      </w:r>
      <w:r>
        <w:t>放松到</w:t>
      </w:r>
      <w:r>
        <w:rPr>
          <w:rFonts w:hint="eastAsia"/>
        </w:rPr>
        <w:t>含国际贸易但管理私人部门资本跨境流动</w:t>
      </w:r>
      <w:r>
        <w:t>的</w:t>
      </w:r>
      <w:r>
        <w:rPr>
          <w:rFonts w:hint="eastAsia"/>
        </w:rPr>
        <w:t>半封闭政府管理的市场经济</w:t>
      </w:r>
      <w:r>
        <w:rPr>
          <w:rFonts w:hint="default"/>
        </w:rPr>
        <w:t>宏观</w:t>
      </w:r>
      <w:r>
        <w:rPr>
          <w:rFonts w:hint="eastAsia"/>
        </w:rPr>
        <w:t>模型。</w:t>
      </w:r>
    </w:p>
    <w:p>
      <w:r>
        <w:rPr>
          <w:rFonts w:hint="eastAsia"/>
        </w:rPr>
        <w:t>封闭模型包括私人部门和政府部门。政府部门（以下有时简称政府）包括中央政府和各级地方政府，政府投资的各类组织如国企、大学、科研院所、中小学和医院等。由中央银行（以下称央行），商业银行和政策性银行组成的货币机构也为政府部门。个人和家庭及其投资的各类组织如企业等为私人部门，私人部门与政府部门合资投资的各类组织企业为私人部门。</w:t>
      </w:r>
      <w:r>
        <w:rPr>
          <w:rFonts w:hint="default"/>
        </w:rPr>
        <w:t>为</w:t>
      </w:r>
      <w:r>
        <w:rPr>
          <w:rFonts w:hint="eastAsia"/>
        </w:rPr>
        <w:t>简化起见，</w:t>
      </w:r>
      <w:r>
        <w:rPr>
          <w:rFonts w:hint="default"/>
        </w:rPr>
        <w:t>本文</w:t>
      </w:r>
      <w:r>
        <w:rPr>
          <w:rFonts w:hint="eastAsia"/>
        </w:rPr>
        <w:t>把货币机构抽象成没有产出和支出的纯债权债务枢纽，其实际收入和支出归为政府部门。除非特别说明，本文以下部分政府部门包括货币机构的产出和支出但不包括其债权和债务。</w:t>
      </w:r>
    </w:p>
    <w:p>
      <w:r>
        <w:rPr>
          <w:rFonts w:hint="eastAsia"/>
        </w:rPr>
        <w:t>央行依国家法律给商业银行和政策性银行拨入资本金，商业银行依央行制定的管理办法给私人部门贷款，政策性银行依央行制定的管理办法给政府部门贷款。央行根据管理需要拨给商业银行和政策性银行资本金，以管理商业银行和政策性银行的贷款规模，管理货币供应量增长率，管理社会需求。</w:t>
      </w:r>
    </w:p>
    <w:p>
      <w:r>
        <w:rPr>
          <w:rFonts w:hint="eastAsia"/>
        </w:rPr>
        <w:t>央行拨给商业银行和政策性银行的资本金是法令的，没有实物基础虚拟的。央行可以无上限给商业银行和政策性银行拨入资本金，商业银行可免遭储蓄客户挤兑，模型经济体可免于金融危机。</w:t>
      </w:r>
    </w:p>
    <w:p>
      <w:r>
        <w:rPr>
          <w:rFonts w:hint="eastAsia"/>
        </w:rPr>
        <w:t>货币机构为私人部门和政府部门的投资和支出提供部分资金。政府财政由政策性银行贷款平衡，即由货币发行平衡，是货币发行财政。私人部门的最终坏账也由货币机构承担</w:t>
      </w:r>
      <w:r>
        <w:rPr>
          <w:rFonts w:hint="default"/>
        </w:rPr>
        <w:t>，即由政府承担</w:t>
      </w:r>
      <w:r>
        <w:rPr>
          <w:rFonts w:hint="eastAsia"/>
        </w:rPr>
        <w:t>。</w:t>
      </w:r>
    </w:p>
    <w:p>
      <w:r>
        <w:rPr>
          <w:rFonts w:hint="eastAsia"/>
        </w:rPr>
        <w:t>总之</w:t>
      </w:r>
      <w:r>
        <w:rPr>
          <w:rFonts w:hint="default"/>
        </w:rPr>
        <w:t>，本文宏观模型经济体</w:t>
      </w:r>
      <w:r>
        <w:rPr>
          <w:rFonts w:hint="eastAsia"/>
        </w:rPr>
        <w:t>政府通过虚拟的货币体系管理市场经济。</w:t>
      </w:r>
    </w:p>
    <w:p>
      <w:pPr>
        <w:pStyle w:val="4"/>
        <w:ind w:firstLine="420"/>
      </w:pPr>
      <w:r>
        <w:rPr>
          <w:rFonts w:hint="eastAsia"/>
        </w:rPr>
        <w:t>（</w:t>
      </w:r>
      <w:r>
        <w:rPr>
          <w:rFonts w:hint="eastAsia"/>
          <w:lang w:val="en-US" w:eastAsia="zh-CN"/>
        </w:rPr>
        <w:t>三</w:t>
      </w:r>
      <w:r>
        <w:rPr>
          <w:rFonts w:hint="eastAsia"/>
        </w:rPr>
        <w:t>）全球市场经济体货币体系发展趋势</w:t>
      </w:r>
    </w:p>
    <w:p>
      <w:r>
        <w:rPr>
          <w:rFonts w:hint="eastAsia"/>
        </w:rPr>
        <w:t>商业银行业务是借短放长，储户存款是商业银行的短期债务，而商业银行放给客户的贷款是商业银行的长期债权，两者时间是错配的；并且商业银行放给客户的贷款比储户存在商业银行的存款高若干倍，两者数量也是错配的；这意味着商业银行具有内在的脆弱性。如果因为种种原因储户对</w:t>
      </w:r>
      <w:r>
        <w:rPr>
          <w:rFonts w:hint="default"/>
        </w:rPr>
        <w:t>在</w:t>
      </w:r>
      <w:r>
        <w:rPr>
          <w:rFonts w:hint="eastAsia"/>
        </w:rPr>
        <w:t>品质较差商业银行的存款安全产生担忧而集体取出存款，品质较差的商业银行将无法满足储户集体取款的要求而破产。品质较差的商业银行破产将影响品质好的银行，导致储户从品质好的银行集体取出存款，最后导致金融危机爆发。金融危机爆发，银行收缩流动性，社会需求萎缩，资产价格下降，更多企业破产，金融危机进一步加深，最后导致全面的金融危机和经济危机</w:t>
      </w:r>
      <w:r>
        <w:fldChar w:fldCharType="begin"/>
      </w:r>
      <w:r>
        <w:instrText xml:space="preserve"> ADDIN EN.CITE &lt;EndNote&gt;&lt;Cite&gt;&lt;Author&gt;Grauwe&lt;/Author&gt;&lt;Year&gt;2010&lt;/Year&gt;&lt;RecNum&gt;951&lt;/RecNum&gt;&lt;DisplayText&gt;(Grauwe, 2010)&lt;/DisplayText&gt;&lt;record&gt;&lt;rec-number&gt;951&lt;/rec-number&gt;&lt;foreign-keys&gt;&lt;key app="EN" db-id="dfw50pzpwrep2aeerx4v2xdyaa5vzeftr0xv" timestamp="1674197932"&gt;951&lt;/key&gt;&lt;/foreign-keys&gt;&lt;ref-type name="Book Section"&gt;5&lt;/ref-type&gt;&lt;contributors&gt;&lt;authors&gt;&lt;author&gt;Grauwe, Paul De&lt;/author&gt;&lt;/authors&gt;&lt;/contributors&gt;&lt;titles&gt;&lt;title&gt;The banking crisis: causes, consequences and remedies&lt;/title&gt;&lt;secondary-title&gt;The Global Crash&lt;/secondary-title&gt;&lt;/titles&gt;&lt;pages&gt;10-31&lt;/pages&gt;&lt;dates&gt;&lt;year&gt;2010&lt;/year&gt;&lt;/dates&gt;&lt;publisher&gt;Springer&lt;/publisher&gt;&lt;urls&gt;&lt;/urls&gt;&lt;/record&gt;&lt;/Cite&gt;&lt;/EndNote&gt;</w:instrText>
      </w:r>
      <w:r>
        <w:fldChar w:fldCharType="separate"/>
      </w:r>
      <w:r>
        <w:t>(Grauwe, 2010)</w:t>
      </w:r>
      <w:r>
        <w:fldChar w:fldCharType="end"/>
      </w:r>
      <w:r>
        <w:rPr>
          <w:rFonts w:hint="eastAsia"/>
        </w:rPr>
        <w:t>。</w:t>
      </w:r>
    </w:p>
    <w:p>
      <w:r>
        <w:rPr>
          <w:rFonts w:hint="eastAsia"/>
        </w:rPr>
        <w:t>因为市场经济顽固地爆发周期性金融危机和经济危机，英美等市场经济国家纷纷成立央行以改善商业银行的固有脆弱性。央行作为政府部门，其使命是维护金融稳定和经济稳定。在平时，央行通过加息或减息等货币政策调节经济的过热或过冷，保持经济稳定；在特殊时期，央行作为最后贷款人为商业银行提供无上限的流动性保证商业银行不因储户集体性取款而破产</w:t>
      </w:r>
      <w:r>
        <w:fldChar w:fldCharType="begin"/>
      </w:r>
      <w:r>
        <w:instrText xml:space="preserve"> ADDIN EN.CITE &lt;EndNote&gt;&lt;Cite&gt;&lt;Author&gt;Bernanke&lt;/Author&gt;&lt;RecNum&gt;945&lt;/RecNum&gt;&lt;DisplayText&gt;(Bernanke)&lt;/DisplayText&gt;&lt;record&gt;&lt;rec-number&gt;945&lt;/rec-number&gt;&lt;foreign-keys&gt;&lt;key app="EN" db-id="dfw50pzpwrep2aeerx4v2xdyaa5vzeftr0xv" timestamp="1674197569"&gt;945&lt;/key&gt;&lt;/foreign-keys&gt;&lt;ref-type name="Conference Proceedings"&gt;10&lt;/ref-type&gt;&lt;contributors&gt;&lt;authors&gt;&lt;author&gt;Bernanke, Ben S.&lt;/author&gt;&lt;/authors&gt;&lt;/contributors&gt;&lt;titles&gt;&lt;title&gt;Monetary Policy since the Onset of the Crisis&lt;/title&gt;&lt;alt-title&gt;Federal Reserve Bank of Kansas City Economic Symposium, Jackson Hole, Wyoming&lt;/alt-title&gt;&lt;/titles&gt;&lt;pages&gt;0-24&lt;/pages&gt;&lt;volume&gt;31&lt;/volume&gt;&lt;dates&gt;&lt;pub-dates&gt;&lt;date&gt;2012&lt;/date&gt;&lt;/pub-dates&gt;&lt;/dates&gt;&lt;urls&gt;&lt;/urls&gt;&lt;/record&gt;&lt;/Cite&gt;&lt;/EndNote&gt;</w:instrText>
      </w:r>
      <w:r>
        <w:fldChar w:fldCharType="separate"/>
      </w:r>
      <w:r>
        <w:t>(Bernanke</w:t>
      </w:r>
      <w:r>
        <w:rPr>
          <w:rFonts w:hint="eastAsia"/>
        </w:rPr>
        <w:t>，2012</w:t>
      </w:r>
      <w:r>
        <w:t>)</w:t>
      </w:r>
      <w:r>
        <w:fldChar w:fldCharType="end"/>
      </w:r>
      <w:r>
        <w:rPr>
          <w:rFonts w:hint="eastAsia"/>
        </w:rPr>
        <w:t>。</w:t>
      </w:r>
    </w:p>
    <w:p>
      <w:r>
        <w:rPr>
          <w:rFonts w:hint="eastAsia"/>
        </w:rPr>
        <w:t>2007至2008年，美国次贷危机爆发，美联储一方面降低利率另一方面大规模购买抵押背书证券（MBS）以应对金融困难</w:t>
      </w:r>
      <w:r>
        <w:fldChar w:fldCharType="begin"/>
      </w:r>
      <w:r>
        <w:instrText xml:space="preserve"> ADDIN EN.CITE &lt;EndNote&gt;&lt;Cite&gt;&lt;Author&gt;Bernanke&lt;/Author&gt;&lt;RecNum&gt;945&lt;/RecNum&gt;&lt;DisplayText&gt;(Bernanke)&lt;/DisplayText&gt;&lt;record&gt;&lt;rec-number&gt;945&lt;/rec-number&gt;&lt;foreign-keys&gt;&lt;key app="EN" db-id="dfw50pzpwrep2aeerx4v2xdyaa5vzeftr0xv" timestamp="1674197569"&gt;945&lt;/key&gt;&lt;/foreign-keys&gt;&lt;ref-type name="Conference Proceedings"&gt;10&lt;/ref-type&gt;&lt;contributors&gt;&lt;authors&gt;&lt;author&gt;Bernanke, Ben S.&lt;/author&gt;&lt;/authors&gt;&lt;/contributors&gt;&lt;titles&gt;&lt;title&gt;Monetary Policy since the Onset of the Crisis&lt;/title&gt;&lt;alt-title&gt;Federal Reserve Bank of Kansas City Economic Symposium, Jackson Hole, Wyoming&lt;/alt-title&gt;&lt;/titles&gt;&lt;pages&gt;0-24&lt;/pages&gt;&lt;volume&gt;31&lt;/volume&gt;&lt;dates&gt;&lt;pub-dates&gt;&lt;date&gt;2012&lt;/date&gt;&lt;/pub-dates&gt;&lt;/dates&gt;&lt;urls&gt;&lt;/urls&gt;&lt;/record&gt;&lt;/Cite&gt;&lt;/EndNote&gt;</w:instrText>
      </w:r>
      <w:r>
        <w:fldChar w:fldCharType="separate"/>
      </w:r>
      <w:r>
        <w:t>(Bernanke</w:t>
      </w:r>
      <w:r>
        <w:rPr>
          <w:rFonts w:hint="eastAsia"/>
        </w:rPr>
        <w:t>，2012</w:t>
      </w:r>
      <w:r>
        <w:t>)</w:t>
      </w:r>
      <w:r>
        <w:fldChar w:fldCharType="end"/>
      </w:r>
      <w:r>
        <w:rPr>
          <w:rFonts w:hint="eastAsia"/>
        </w:rPr>
        <w:t>。2020年新冠疫情在全球爆发，美联储和全球30个以上中央银行集体行动实现量化宽松货币政策，购买问题证券为金融市场注入流动性</w:t>
      </w:r>
      <w:r>
        <w:fldChar w:fldCharType="begin"/>
      </w:r>
      <w:r>
        <w:instrText xml:space="preserve"> ADDIN EN.CITE &lt;EndNote&gt;&lt;Cite&gt;&lt;Author&gt;House&lt;/Author&gt;&lt;Year&gt;2010&lt;/Year&gt;&lt;RecNum&gt;946&lt;/RecNum&gt;&lt;DisplayText&gt;(House &amp;amp; Masatlioglu, 2010)&lt;/DisplayText&gt;&lt;record&gt;&lt;rec-number&gt;946&lt;/rec-number&gt;&lt;foreign-keys&gt;&lt;key app="EN" db-id="dfw50pzpwrep2aeerx4v2xdyaa5vzeftr0xv" timestamp="1674197594"&gt;946&lt;/key&gt;&lt;/foreign-keys&gt;&lt;ref-type name="Report"&gt;27&lt;/ref-type&gt;&lt;contributors&gt;&lt;authors&gt;&lt;author&gt;House, Christopher L.&lt;/author&gt;&lt;author&gt;Masatlioglu, Yusufcan&lt;/author&gt;&lt;/authors&gt;&lt;/contributors&gt;&lt;titles&gt;&lt;title&gt;Managing markets for toxic assets&lt;/title&gt;&lt;/titles&gt;&lt;dates&gt;&lt;year&gt;2010&lt;/year&gt;&lt;/dates&gt;&lt;publisher&gt;National Bureau of Economic Research&lt;/publisher&gt;&lt;urls&gt;&lt;/urls&gt;&lt;/record&gt;&lt;/Cite&gt;&lt;/EndNote&gt;</w:instrText>
      </w:r>
      <w:r>
        <w:fldChar w:fldCharType="separate"/>
      </w:r>
      <w:r>
        <w:t>(House &amp; Masatlioglu, 2010)</w:t>
      </w:r>
      <w:r>
        <w:fldChar w:fldCharType="end"/>
      </w:r>
      <w:r>
        <w:rPr>
          <w:rFonts w:hint="eastAsia"/>
        </w:rPr>
        <w:t>。2007、2008和2020年，美国因为货币量化宽松政策而避免了大量商业银行及其它金融机构倒闭，避免了金融危机。</w:t>
      </w:r>
    </w:p>
    <w:p>
      <w:r>
        <w:t>中国自1999年开始成立四大资产管理公司剥离工，建，农，中四大国有商业银行不良资产，让四大国有商业银行恢复健康的资金中介功能</w:t>
      </w:r>
      <w:r>
        <w:fldChar w:fldCharType="begin"/>
      </w:r>
      <w:r>
        <w:instrText xml:space="preserve"> ADDIN EN.CITE &lt;EndNote&gt;&lt;Cite&gt;&lt;Author&gt;丁春燕&lt;/Author&gt;&lt;Year&gt;2008&lt;/Year&gt;&lt;RecNum&gt;962&lt;/RecNum&gt;&lt;DisplayText&gt;(丁春燕, 2008)&lt;/DisplayText&gt;&lt;record&gt;&lt;rec-number&gt;962&lt;/rec-number&gt;&lt;foreign-keys&gt;&lt;key app="EN" db-id="dfw50pzpwrep2aeerx4v2xdyaa5vzeftr0xv" timestamp="1674198322"&gt;962&lt;/key&gt;&lt;/foreign-keys&gt;&lt;ref-type name="Journal Article"&gt;17&lt;/ref-type&gt;&lt;contributors&gt;&lt;authors&gt;&lt;author&gt;&lt;style face="normal" font="default" charset="134" size="100%"&gt;丁春燕&lt;/style&gt;&lt;/author&gt;&lt;/authors&gt;&lt;/contributors&gt;&lt;titles&gt;&lt;title&gt;&lt;style face="normal" font="default" charset="134" size="100%"&gt;商业银行不良资产剥离问题研究综述&lt;/style&gt;&lt;/title&gt;&lt;secondary-title&gt;&lt;style face="normal" font="default" charset="134" size="100%"&gt;时代经贸&lt;/style&gt;&lt;style face="normal" font="default" size="100%"&gt;(&lt;/style&gt;&lt;style face="normal" font="default" charset="134" size="100%"&gt;中旬刊&lt;/style&gt;&lt;style face="normal" font="default" size="100%"&gt;)&lt;/style&gt;&lt;/secondary-title&gt;&lt;/titles&gt;&lt;periodical&gt;&lt;full-title&gt;时代经贸(中旬刊)&lt;/full-title&gt;&lt;/periodical&gt;&lt;pages&gt;199-201&lt;/pages&gt;&lt;number&gt;S3&lt;/number&gt;&lt;keywords&gt;&lt;keyword&gt;商业银行不良资产&lt;/keyword&gt;&lt;keyword&gt;不良贷款&lt;/keyword&gt;&lt;keyword&gt;不良资产剥离&lt;/keyword&gt;&lt;keyword&gt;国有商业银行&lt;/keyword&gt;&lt;keyword&gt;二次剥离&lt;/keyword&gt;&lt;keyword&gt;研究综述&lt;/keyword&gt;&lt;/keywords&gt;&lt;dates&gt;&lt;year&gt;2008&lt;/year&gt;&lt;/dates&gt;&lt;urls&gt;&lt;/urls&gt;&lt;/record&gt;&lt;/Cite&gt;&lt;/EndNote&gt;</w:instrText>
      </w:r>
      <w:r>
        <w:fldChar w:fldCharType="separate"/>
      </w:r>
      <w:r>
        <w:t>(丁春燕, 2008)</w:t>
      </w:r>
      <w:r>
        <w:fldChar w:fldCharType="end"/>
      </w:r>
      <w:r>
        <w:t>。中国因此从未爆发金融危机和经济危机。</w:t>
      </w:r>
    </w:p>
    <w:p>
      <w:r>
        <w:t>以上分析表明，全球市场经济体政府通过央行对商业银行的干预越来越多，而政府通过央行购买商业银行的不良资产意味着政府为商业银行的经营失败负最终责任，这实质上走向了货币体系政府化。上述分析表明，货币体系政府化其积极效果是显著的。</w:t>
      </w:r>
    </w:p>
    <w:p>
      <w:r>
        <w:t>货币体系政府化的结果是货币性质发生改变，货币本身不再是财富，而是政府管理市场经济的虚拟工具。在封闭的模型经济体里，债权债务宏观上总和为零。</w:t>
      </w:r>
    </w:p>
    <w:p>
      <w:pPr>
        <w:pStyle w:val="4"/>
        <w:ind w:firstLine="420"/>
      </w:pPr>
      <w:r>
        <w:t>（</w:t>
      </w:r>
      <w:r>
        <w:rPr>
          <w:rFonts w:hint="eastAsia"/>
          <w:lang w:val="en-US" w:eastAsia="zh-CN"/>
        </w:rPr>
        <w:t>四</w:t>
      </w:r>
      <w:r>
        <w:t>）封闭模型各类关系方程</w:t>
      </w:r>
    </w:p>
    <w:p>
      <w:r>
        <w:t>1. 部门债权债务平衡方程</w:t>
      </w:r>
    </w:p>
    <w:p>
      <w:r>
        <w:t>（1）货币机构债权债务平衡方程</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w:rPr>
                  <w:rFonts w:ascii="Cambria Math" w:hAnsi="Cambria Math"/>
                  <w:szCs w:val="21"/>
                </w:rPr>
                <m:t xml:space="preserve"> </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xml:space="preserve">=M  </w:t>
            </w:r>
          </w:p>
        </w:tc>
        <w:tc>
          <w:tcPr>
            <w:tcW w:w="930" w:type="dxa"/>
            <w:vAlign w:val="center"/>
          </w:tcPr>
          <w:p>
            <w:pPr>
              <w:ind w:firstLine="0" w:firstLineChars="0"/>
              <w:jc w:val="right"/>
            </w:pPr>
            <w: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rPr>
                <w:bCs/>
                <w:szCs w:val="21"/>
              </w:rPr>
            </w:pPr>
            <m:oMath>
              <m:r>
                <m:rPr/>
                <w:rPr>
                  <w:rFonts w:ascii="Cambria Math" w:hAnsi="Cambria Math"/>
                  <w:szCs w:val="21"/>
                </w:rPr>
                <m:t xml:space="preserve"> </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=D</w:t>
            </w:r>
          </w:p>
        </w:tc>
        <w:tc>
          <w:tcPr>
            <w:tcW w:w="930" w:type="dxa"/>
            <w:vAlign w:val="center"/>
          </w:tcPr>
          <w:p>
            <w:pPr>
              <w:ind w:firstLine="0" w:firstLineChars="0"/>
              <w:jc w:val="right"/>
            </w:pPr>
            <w: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260" w:firstLineChars="600"/>
              <w:jc w:val="center"/>
              <w:rPr>
                <w:bCs/>
                <w:szCs w:val="21"/>
              </w:rPr>
            </w:pPr>
            <w:r>
              <w:rPr>
                <w:bCs/>
                <w:szCs w:val="21"/>
              </w:rPr>
              <w:t>(</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eastAsia="微软雅黑"/>
                  <w:szCs w:val="21"/>
                </w:rPr>
                <m:t>−</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)=M-D</w:t>
            </w:r>
          </w:p>
        </w:tc>
        <w:tc>
          <w:tcPr>
            <w:tcW w:w="930" w:type="dxa"/>
            <w:vAlign w:val="center"/>
          </w:tcPr>
          <w:p>
            <w:pPr>
              <w:ind w:firstLine="0" w:firstLineChars="0"/>
              <w:jc w:val="right"/>
            </w:pPr>
            <w:r>
              <w:t>(4-3)</w:t>
            </w:r>
          </w:p>
        </w:tc>
      </w:tr>
    </w:tbl>
    <w:p>
      <w:pPr>
        <w:rPr>
          <w:bCs/>
          <w:szCs w:val="21"/>
        </w:rPr>
      </w:pPr>
      <w:r>
        <w:rPr>
          <w:bCs/>
          <w:szCs w:val="21"/>
        </w:rPr>
        <w:t>式中</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为私人部门在货币机构的储蓄余额；</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为政府部门在货币机构的储蓄余额；M为私人部门和政府部门在货币机构的合计储蓄余额，可视为货币供应量；D为货币机构给私人部门和政府部门的总贷款余额；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为货币机构给私人部门的贷款余额；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为货币机构给政府部门的贷款余额，包括给国企的贷款余额和持有的国债余额。</w:t>
      </w:r>
    </w:p>
    <w:p>
      <w:r>
        <w:t>式（4-3）是货币机构主体的债权债务定义式方程，其物理意义是货币机构通过货币发行（贷款余额增加）为私人部门和政府部门提供一定的资金来源。因为货币机构是政府部门，因此也可以说政府部门通过货币发行机制为私人部门和自身提供部分资金来源。</w:t>
      </w:r>
    </w:p>
    <w:p>
      <w:r>
        <w:t>（2）私人部门与政府部门债权债务平衡方程</w:t>
      </w:r>
    </w:p>
    <w:p>
      <w:r>
        <w:t xml:space="preserve">式（4-3） 移项后得社会债权债务平衡方程： </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 xml:space="preserve"> </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szCs w:val="21"/>
              </w:rPr>
              <w:t>=</w:t>
            </w:r>
            <w:r>
              <w:rPr>
                <w:i/>
                <w:iCs/>
                <w:szCs w:val="21"/>
              </w:rPr>
              <w:t>-</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xml:space="preserve">+M-D  </w:t>
            </w:r>
          </w:p>
        </w:tc>
        <w:tc>
          <w:tcPr>
            <w:tcW w:w="930" w:type="dxa"/>
            <w:vAlign w:val="center"/>
          </w:tcPr>
          <w:p>
            <w:pPr>
              <w:ind w:firstLine="0" w:firstLineChars="0"/>
              <w:jc w:val="right"/>
            </w:pPr>
            <w:r>
              <w:t>(4-4)</w:t>
            </w:r>
          </w:p>
        </w:tc>
      </w:tr>
    </w:tbl>
    <w:p>
      <w:r>
        <w:t>式（4-4）的物理意义是：政府部门（包括货币机构）的净负债等于私人部门的净债权，两者总量对冲为零。</w:t>
      </w:r>
    </w:p>
    <w:p>
      <w:r>
        <w:t>（3）私人部门投资、消费、收入、储蓄和借贷平衡方程</w:t>
      </w:r>
    </w:p>
    <w:p>
      <w:r>
        <w:t>时间t到（t+1）期间，私人部门的投资，消费，收入，储蓄和借贷平衡方程为：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y</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eastAsia="微软雅黑"/>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p(t+1)</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pt</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p(t+1)</m:t>
                  </m:r>
                  <m:ctrlPr>
                    <w:rPr>
                      <w:rFonts w:ascii="Cambria Math" w:hAnsi="Cambria Math"/>
                      <w:bCs/>
                      <w:i/>
                      <w:szCs w:val="21"/>
                    </w:rPr>
                  </m:ctrlPr>
                </m:sub>
              </m:sSub>
            </m:oMath>
            <w:r>
              <w:rPr>
                <w:bCs/>
                <w:szCs w:val="21"/>
              </w:rPr>
              <w:t xml:space="preserve"> -</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pt</m:t>
                  </m:r>
                  <m:ctrlPr>
                    <w:rPr>
                      <w:rFonts w:ascii="Cambria Math" w:hAnsi="Cambria Math"/>
                      <w:bCs/>
                      <w:i/>
                      <w:szCs w:val="21"/>
                    </w:rPr>
                  </m:ctrlPr>
                </m:sub>
              </m:sSub>
            </m:oMath>
          </w:p>
        </w:tc>
        <w:tc>
          <w:tcPr>
            <w:tcW w:w="930" w:type="dxa"/>
            <w:vAlign w:val="center"/>
          </w:tcPr>
          <w:p>
            <w:pPr>
              <w:ind w:firstLine="0" w:firstLineChars="0"/>
              <w:jc w:val="right"/>
            </w:pPr>
            <w:r>
              <w:t>(4-5)</w:t>
            </w:r>
          </w:p>
        </w:tc>
      </w:tr>
    </w:tbl>
    <w:p>
      <w:pPr>
        <w:rPr>
          <w:bCs/>
          <w:szCs w:val="21"/>
        </w:rPr>
      </w:pPr>
      <w:r>
        <w:rPr>
          <w:bCs/>
          <w:szCs w:val="21"/>
        </w:rPr>
        <w:t>式中</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为私人部门时间t到（t+1）期间的投资，</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为私人部门时间t到（t+1）期间的消费；</w:t>
      </w:r>
      <m:oMath>
        <m:sSub>
          <m:sSubPr>
            <m:ctrlPr>
              <w:rPr>
                <w:rFonts w:ascii="Cambria Math" w:hAnsi="Cambria Math"/>
                <w:bCs/>
                <w:i/>
                <w:szCs w:val="21"/>
              </w:rPr>
            </m:ctrlPr>
          </m:sSubPr>
          <m:e>
            <m:r>
              <m:rPr/>
              <w:rPr>
                <w:rFonts w:ascii="Cambria Math" w:hAnsi="Cambria Math"/>
                <w:szCs w:val="21"/>
              </w:rPr>
              <m:t>y</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 xml:space="preserve"> 私人部门时间t到（t+1）期间的名义价格收入；</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p(t+1)</m:t>
            </m:r>
            <m:ctrlPr>
              <w:rPr>
                <w:rFonts w:ascii="Cambria Math" w:hAnsi="Cambria Math"/>
                <w:bCs/>
                <w:i/>
                <w:szCs w:val="21"/>
              </w:rPr>
            </m:ctrlPr>
          </m:sub>
        </m:sSub>
      </m:oMath>
      <w:r>
        <w:rPr>
          <w:bCs/>
          <w:szCs w:val="21"/>
        </w:rPr>
        <w:t xml:space="preserve"> 为（t+1）时刻私人部门在货币机构的储蓄余额；</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pt</m:t>
            </m:r>
            <m:ctrlPr>
              <w:rPr>
                <w:rFonts w:ascii="Cambria Math" w:hAnsi="Cambria Math"/>
                <w:bCs/>
                <w:i/>
                <w:szCs w:val="21"/>
              </w:rPr>
            </m:ctrlPr>
          </m:sub>
        </m:sSub>
      </m:oMath>
      <w:r>
        <w:rPr>
          <w:bCs/>
          <w:szCs w:val="21"/>
        </w:rPr>
        <w:t>为t时刻私人部门在货币机构的储蓄余额；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p(t+1)</m:t>
            </m:r>
            <m:ctrlPr>
              <w:rPr>
                <w:rFonts w:ascii="Cambria Math" w:hAnsi="Cambria Math"/>
                <w:bCs/>
                <w:i/>
                <w:szCs w:val="21"/>
              </w:rPr>
            </m:ctrlPr>
          </m:sub>
        </m:sSub>
      </m:oMath>
      <w:r>
        <w:rPr>
          <w:bCs/>
          <w:szCs w:val="21"/>
        </w:rPr>
        <w:t>为（t+1）时刻货币机构给私人部门的贷款余额，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pt</m:t>
            </m:r>
            <m:ctrlPr>
              <w:rPr>
                <w:rFonts w:ascii="Cambria Math" w:hAnsi="Cambria Math"/>
                <w:bCs/>
                <w:i/>
                <w:szCs w:val="21"/>
              </w:rPr>
            </m:ctrlPr>
          </m:sub>
        </m:sSub>
      </m:oMath>
      <w:r>
        <w:rPr>
          <w:bCs/>
          <w:szCs w:val="21"/>
        </w:rPr>
        <w:t>为t时刻货币机构给私人部门的贷款余额。</w:t>
      </w:r>
    </w:p>
    <w:p>
      <w:r>
        <w:t>式（4-5）中各个变量为名义价格，其物理意义是货币机构为私人部门的投资和消费提供部分资金来源。</w:t>
      </w:r>
    </w:p>
    <w:p>
      <w:r>
        <w:t>（4）政府部门收入，储蓄，借贷，投资和消费平衡方程</w:t>
      </w:r>
    </w:p>
    <w:p>
      <w:r>
        <w:t>时间t到（t+1）期间，政府部门的收入，储蓄，借贷，投资和消费平衡方程为：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y</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g(t+1)</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gt</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g(t+1)</m:t>
                  </m:r>
                  <m:ctrlPr>
                    <w:rPr>
                      <w:rFonts w:ascii="Cambria Math" w:hAnsi="Cambria Math"/>
                      <w:bCs/>
                      <w:i/>
                      <w:szCs w:val="21"/>
                    </w:rPr>
                  </m:ctrlPr>
                </m:sub>
              </m:sSub>
            </m:oMath>
            <w:r>
              <w:rPr>
                <w:bCs/>
                <w:szCs w:val="21"/>
              </w:rPr>
              <w:t xml:space="preserve"> -</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gt</m:t>
                  </m:r>
                  <m:ctrlPr>
                    <w:rPr>
                      <w:rFonts w:ascii="Cambria Math" w:hAnsi="Cambria Math"/>
                      <w:bCs/>
                      <w:i/>
                      <w:szCs w:val="21"/>
                    </w:rPr>
                  </m:ctrlPr>
                </m:sub>
              </m:sSub>
            </m:oMath>
            <w:r>
              <w:rPr>
                <w:bCs/>
                <w:szCs w:val="21"/>
              </w:rPr>
              <w:t xml:space="preserve">  </w:t>
            </w:r>
          </w:p>
        </w:tc>
        <w:tc>
          <w:tcPr>
            <w:tcW w:w="930" w:type="dxa"/>
            <w:vAlign w:val="center"/>
          </w:tcPr>
          <w:p>
            <w:pPr>
              <w:ind w:firstLine="0" w:firstLineChars="0"/>
              <w:jc w:val="right"/>
            </w:pPr>
            <w:r>
              <w:t>(4-6)</w:t>
            </w:r>
          </w:p>
        </w:tc>
      </w:tr>
    </w:tbl>
    <w:p>
      <w:pPr>
        <w:rPr>
          <w:bCs/>
          <w:szCs w:val="21"/>
        </w:rPr>
      </w:pPr>
      <w:r>
        <w:rPr>
          <w:bCs/>
          <w:szCs w:val="21"/>
        </w:rPr>
        <w:t>式中</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为政府部门时间t到（t+1）期间的投资；</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为政府部门时间t到（t+1）期间的支出；</w:t>
      </w:r>
      <m:oMath>
        <m:sSub>
          <m:sSubPr>
            <m:ctrlPr>
              <w:rPr>
                <w:rFonts w:ascii="Cambria Math" w:hAnsi="Cambria Math"/>
                <w:bCs/>
                <w:i/>
                <w:szCs w:val="21"/>
              </w:rPr>
            </m:ctrlPr>
          </m:sSubPr>
          <m:e>
            <m:r>
              <m:rPr/>
              <w:rPr>
                <w:rFonts w:ascii="Cambria Math" w:hAnsi="Cambria Math"/>
                <w:szCs w:val="21"/>
              </w:rPr>
              <m:t>y</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xml:space="preserve"> 为政府部门时间t到（t+1）期间的名义价格收入；</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g(t+1)</m:t>
            </m:r>
            <m:ctrlPr>
              <w:rPr>
                <w:rFonts w:ascii="Cambria Math" w:hAnsi="Cambria Math"/>
                <w:bCs/>
                <w:i/>
                <w:szCs w:val="21"/>
              </w:rPr>
            </m:ctrlPr>
          </m:sub>
        </m:sSub>
      </m:oMath>
      <w:r>
        <w:rPr>
          <w:bCs/>
          <w:szCs w:val="21"/>
        </w:rPr>
        <w:t xml:space="preserve"> 为（t+1）时刻政府部门在货币机构的储蓄余额；</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gt</m:t>
            </m:r>
            <m:ctrlPr>
              <w:rPr>
                <w:rFonts w:ascii="Cambria Math" w:hAnsi="Cambria Math"/>
                <w:bCs/>
                <w:i/>
                <w:szCs w:val="21"/>
              </w:rPr>
            </m:ctrlPr>
          </m:sub>
        </m:sSub>
        <m:r>
          <m:rPr>
            <m:sty m:val="p"/>
          </m:rPr>
          <w:rPr>
            <w:rFonts w:ascii="Cambria Math" w:hAnsi="Cambria Math"/>
            <w:szCs w:val="21"/>
          </w:rPr>
          <m:t>为政府部门t时刻在货币机构的储蓄余额；</m:t>
        </m:r>
        <m:r>
          <m:rPr/>
          <w:rPr>
            <w:rFonts w:ascii="Cambria Math" w:hAnsi="Cambria Math"/>
            <w:szCs w:val="21"/>
          </w:rPr>
          <m:t xml:space="preserve"> </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g(t+1)</m:t>
            </m:r>
            <m:ctrlPr>
              <w:rPr>
                <w:rFonts w:ascii="Cambria Math" w:hAnsi="Cambria Math"/>
                <w:bCs/>
                <w:i/>
                <w:szCs w:val="21"/>
              </w:rPr>
            </m:ctrlPr>
          </m:sub>
        </m:sSub>
      </m:oMath>
      <w:r>
        <w:rPr>
          <w:bCs/>
          <w:szCs w:val="21"/>
        </w:rPr>
        <w:t>为（t+1）时刻货币机构给政府部门的贷款余额，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gt</m:t>
            </m:r>
            <m:ctrlPr>
              <w:rPr>
                <w:rFonts w:ascii="Cambria Math" w:hAnsi="Cambria Math"/>
                <w:bCs/>
                <w:i/>
                <w:szCs w:val="21"/>
              </w:rPr>
            </m:ctrlPr>
          </m:sub>
        </m:sSub>
      </m:oMath>
      <w:r>
        <w:rPr>
          <w:bCs/>
          <w:szCs w:val="21"/>
        </w:rPr>
        <w:t>为t时刻货币机构给政府部门的贷款余额。</w:t>
      </w:r>
    </w:p>
    <w:p>
      <w:r>
        <w:t>式（4-6）中的各个变量为名义价格，其物理意义是货币机构为政府部门的投资和支出提供部分资金来源。</w:t>
      </w:r>
    </w:p>
    <w:p>
      <w:pPr>
        <w:ind w:firstLine="0" w:firstLineChars="0"/>
      </w:pPr>
      <w:r>
        <w:t>2. 生产要素</w:t>
      </w:r>
    </w:p>
    <w:p>
      <w:r>
        <w:t>（1）人口及知识积累</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03"/>
        <w:gridCol w:w="859"/>
        <w:gridCol w:w="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03" w:type="dxa"/>
            <w:vAlign w:val="center"/>
          </w:tcPr>
          <w:p>
            <w:pPr>
              <w:ind w:firstLine="0" w:firstLineChars="0"/>
              <w:jc w:val="center"/>
            </w:pPr>
            <w:r>
              <w:rPr>
                <w:bCs/>
                <w:szCs w:val="21"/>
              </w:rPr>
              <w:t xml:space="preserve"> L=</w:t>
            </w:r>
            <m:oMath>
              <m:nary>
                <m:naryPr>
                  <m:limLoc m:val="undOvr"/>
                  <m:subHide m:val="1"/>
                  <m:supHide m:val="1"/>
                  <m:ctrlPr>
                    <w:rPr>
                      <w:rFonts w:ascii="Cambria Math" w:hAnsi="Cambria Math"/>
                      <w:bCs/>
                      <w:i/>
                      <w:szCs w:val="21"/>
                    </w:rPr>
                  </m:ctrlPr>
                </m:naryPr>
                <m:sub>
                  <m:ctrlPr>
                    <w:rPr>
                      <w:rFonts w:ascii="Cambria Math" w:hAnsi="Cambria Math"/>
                      <w:bCs/>
                      <w:i/>
                      <w:szCs w:val="21"/>
                    </w:rPr>
                  </m:ctrlPr>
                </m:sub>
                <m:sup>
                  <m:ctrlPr>
                    <w:rPr>
                      <w:rFonts w:ascii="Cambria Math" w:hAnsi="Cambria Math"/>
                      <w:bCs/>
                      <w:i/>
                      <w:szCs w:val="21"/>
                    </w:rPr>
                  </m:ctrlPr>
                </m:sup>
                <m:e>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i</m:t>
                      </m:r>
                      <m:ctrlPr>
                        <w:rPr>
                          <w:rFonts w:ascii="Cambria Math" w:hAnsi="Cambria Math"/>
                          <w:bCs/>
                          <w:i/>
                          <w:szCs w:val="21"/>
                        </w:rPr>
                      </m:ctrlPr>
                    </m:sub>
                  </m:sSub>
                  <m:ctrlPr>
                    <w:rPr>
                      <w:rFonts w:ascii="Cambria Math" w:hAnsi="Cambria Math"/>
                      <w:bCs/>
                      <w:i/>
                      <w:szCs w:val="21"/>
                    </w:rPr>
                  </m:ctrlPr>
                </m:e>
              </m:nary>
              <m:r>
                <m:rPr/>
                <w:rPr>
                  <w:rFonts w:ascii="Cambria Math" w:hAnsi="Cambria Math"/>
                  <w:szCs w:val="21"/>
                </w:rPr>
                <m:t>dt</m:t>
              </m:r>
            </m:oMath>
            <w:r>
              <w:rPr>
                <w:bCs/>
                <w:szCs w:val="21"/>
              </w:rPr>
              <w:t xml:space="preserve"> </w:t>
            </w:r>
          </w:p>
        </w:tc>
        <w:tc>
          <w:tcPr>
            <w:tcW w:w="859" w:type="dxa"/>
            <w:vAlign w:val="center"/>
          </w:tcPr>
          <w:p>
            <w:pPr>
              <w:ind w:firstLine="0" w:firstLineChars="0"/>
              <w:jc w:val="right"/>
            </w:pPr>
            <w:r>
              <w:t>(4-7)</w:t>
            </w:r>
          </w:p>
        </w:tc>
        <w:tc>
          <w:tcPr>
            <w:tcW w:w="859" w:type="dxa"/>
            <w:vAlign w:val="center"/>
          </w:tcPr>
          <w:p>
            <w:pPr>
              <w:ind w:firstLine="0" w:firstLineChars="0"/>
              <w:jc w:val="right"/>
            </w:pPr>
          </w:p>
        </w:tc>
      </w:tr>
    </w:tbl>
    <w:p>
      <w:pPr>
        <w:rPr>
          <w:bCs/>
          <w:szCs w:val="21"/>
        </w:rPr>
      </w:pPr>
      <w:r>
        <w:rPr>
          <w:bCs/>
          <w:szCs w:val="21"/>
        </w:rPr>
        <w:t xml:space="preserve">式中 </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i</m:t>
            </m:r>
            <m:ctrlPr>
              <w:rPr>
                <w:rFonts w:ascii="Cambria Math" w:hAnsi="Cambria Math"/>
                <w:bCs/>
                <w:i/>
                <w:szCs w:val="21"/>
              </w:rPr>
            </m:ctrlPr>
          </m:sub>
        </m:sSub>
      </m:oMath>
      <w:r>
        <w:rPr>
          <w:bCs/>
          <w:szCs w:val="21"/>
        </w:rPr>
        <w:t>为人口对知识的投资，L为人口及人口对知识的投资积累，t为时间，式（4-7）的物理意义是人口自出生就投资自己的知识，知识是人口的内生变量。人口及知识积累L是反映一个经济体生产力水平和国际竞争力最重要的生产要素之一。</w:t>
      </w:r>
    </w:p>
    <w:p>
      <w:r>
        <w:t>（2）私人部门资本积累</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 xml:space="preserve">  </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nary>
                <m:naryPr>
                  <m:limLoc m:val="undOvr"/>
                  <m:subHide m:val="1"/>
                  <m:supHide m:val="1"/>
                  <m:ctrlPr>
                    <w:rPr>
                      <w:rFonts w:ascii="Cambria Math" w:hAnsi="Cambria Math"/>
                      <w:bCs/>
                      <w:i/>
                      <w:szCs w:val="21"/>
                    </w:rPr>
                  </m:ctrlPr>
                </m:naryPr>
                <m:sub>
                  <m:ctrlPr>
                    <w:rPr>
                      <w:rFonts w:ascii="Cambria Math" w:hAnsi="Cambria Math"/>
                      <w:bCs/>
                      <w:i/>
                      <w:szCs w:val="21"/>
                    </w:rPr>
                  </m:ctrlPr>
                </m:sub>
                <m:sup>
                  <m:ctrlPr>
                    <w:rPr>
                      <w:rFonts w:ascii="Cambria Math" w:hAnsi="Cambria Math"/>
                      <w:bCs/>
                      <w:i/>
                      <w:szCs w:val="21"/>
                    </w:rPr>
                  </m:ctrlPr>
                </m:sup>
                <m:e>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ctrlPr>
                    <w:rPr>
                      <w:rFonts w:ascii="Cambria Math" w:hAnsi="Cambria Math"/>
                      <w:bCs/>
                      <w:i/>
                      <w:szCs w:val="21"/>
                    </w:rPr>
                  </m:ctrlPr>
                </m:e>
              </m:nary>
              <m:r>
                <m:rPr/>
                <w:rPr>
                  <w:rFonts w:ascii="Cambria Math" w:hAnsi="Cambria Math"/>
                  <w:szCs w:val="21"/>
                </w:rPr>
                <m:t>dt</m:t>
              </m:r>
            </m:oMath>
            <w:r>
              <w:rPr>
                <w:bCs/>
                <w:szCs w:val="21"/>
              </w:rPr>
              <w:t xml:space="preserve"> </w:t>
            </w:r>
          </w:p>
        </w:tc>
        <w:tc>
          <w:tcPr>
            <w:tcW w:w="930" w:type="dxa"/>
            <w:vAlign w:val="center"/>
          </w:tcPr>
          <w:p>
            <w:pPr>
              <w:ind w:firstLine="0" w:firstLineChars="0"/>
              <w:jc w:val="right"/>
            </w:pPr>
            <w:r>
              <w:t>(4-8)</w:t>
            </w:r>
          </w:p>
        </w:tc>
      </w:tr>
    </w:tbl>
    <w:p>
      <w:r>
        <w:rPr>
          <w:bCs/>
          <w:szCs w:val="21"/>
        </w:rPr>
        <w:t xml:space="preserve">式中 </w:t>
      </w:r>
      <m:oMath>
        <m:sSub>
          <m:sSubPr>
            <m:ctrlPr>
              <w:rPr>
                <w:rFonts w:ascii="Cambria Math" w:hAnsi="Cambria Math"/>
                <w:bCs/>
                <w:szCs w:val="21"/>
              </w:rPr>
            </m:ctrlPr>
          </m:sSubPr>
          <m:e>
            <m:r>
              <m:rPr>
                <m:sty m:val="p"/>
              </m:rPr>
              <w:rPr>
                <w:rFonts w:ascii="Cambria Math" w:hAnsi="Cambria Math"/>
                <w:szCs w:val="21"/>
              </w:rPr>
              <m:t>I</m:t>
            </m:r>
            <m:ctrlPr>
              <w:rPr>
                <w:rFonts w:ascii="Cambria Math" w:hAnsi="Cambria Math"/>
                <w:bCs/>
                <w:szCs w:val="21"/>
              </w:rPr>
            </m:ctrlPr>
          </m:e>
          <m:sub>
            <m:r>
              <m:rPr>
                <m:sty m:val="p"/>
              </m:rPr>
              <w:rPr>
                <w:rFonts w:ascii="Cambria Math" w:hAnsi="Cambria Math"/>
                <w:szCs w:val="21"/>
              </w:rPr>
              <m:t>p</m:t>
            </m:r>
            <m:ctrlPr>
              <w:rPr>
                <w:rFonts w:ascii="Cambria Math" w:hAnsi="Cambria Math"/>
                <w:bCs/>
                <w:szCs w:val="21"/>
              </w:rPr>
            </m:ctrlPr>
          </m:sub>
        </m:sSub>
        <m:r>
          <m:rPr>
            <m:sty m:val="p"/>
          </m:rPr>
          <w:rPr>
            <w:rFonts w:ascii="Cambria Math" w:hAnsi="Cambria Math"/>
            <w:szCs w:val="21"/>
          </w:rPr>
          <m:t>为私人部门投资，</m:t>
        </m:r>
        <m:sSub>
          <m:sSubPr>
            <m:ctrlPr>
              <w:rPr>
                <w:rFonts w:ascii="Cambria Math" w:hAnsi="Cambria Math"/>
                <w:bCs/>
                <w:i/>
                <w:szCs w:val="21"/>
              </w:rPr>
            </m:ctrlPr>
          </m:sSubPr>
          <m:e>
            <m:r>
              <m:rPr/>
              <w:rPr>
                <w:rFonts w:ascii="Cambria Math" w:hAnsi="Cambria Math"/>
                <w:szCs w:val="21"/>
              </w:rPr>
              <m:t xml:space="preserve">  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为除人口及知识积累外的私人部门资本积累，包括对知识的投资积累。知识</w:t>
      </w:r>
      <m:oMath>
        <m:r>
          <m:rPr>
            <m:sty m:val="p"/>
          </m:rPr>
          <w:rPr>
            <w:rFonts w:ascii="Cambria Math" w:hAnsi="Cambria Math"/>
            <w:szCs w:val="21"/>
          </w:rPr>
          <m:t>是私人部门的内生变量。</m:t>
        </m:r>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按收益法即时评估算，即时折旧。包涵知识等无形资产的私人部门资本积累是反映一个经济体生产力水平和国际竞争力最重要的生产要素之一。</w:t>
      </w:r>
    </w:p>
    <w:p>
      <w:r>
        <w:t xml:space="preserve"> （3）政府部门资本积累</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m:oMath>
              <m:nary>
                <m:naryPr>
                  <m:limLoc m:val="undOvr"/>
                  <m:subHide m:val="1"/>
                  <m:supHide m:val="1"/>
                  <m:ctrlPr>
                    <w:rPr>
                      <w:rFonts w:ascii="Cambria Math" w:hAnsi="Cambria Math"/>
                      <w:bCs/>
                      <w:i/>
                      <w:szCs w:val="21"/>
                    </w:rPr>
                  </m:ctrlPr>
                </m:naryPr>
                <m:sub>
                  <m:ctrlPr>
                    <w:rPr>
                      <w:rFonts w:ascii="Cambria Math" w:hAnsi="Cambria Math"/>
                      <w:bCs/>
                      <w:i/>
                      <w:szCs w:val="21"/>
                    </w:rPr>
                  </m:ctrlPr>
                </m:sub>
                <m:sup>
                  <m:ctrlPr>
                    <w:rPr>
                      <w:rFonts w:ascii="Cambria Math" w:hAnsi="Cambria Math"/>
                      <w:bCs/>
                      <w:i/>
                      <w:szCs w:val="21"/>
                    </w:rPr>
                  </m:ctrlPr>
                </m:sup>
                <m:e>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ctrlPr>
                    <w:rPr>
                      <w:rFonts w:ascii="Cambria Math" w:hAnsi="Cambria Math"/>
                      <w:bCs/>
                      <w:i/>
                      <w:szCs w:val="21"/>
                    </w:rPr>
                  </m:ctrlPr>
                </m:e>
              </m:nary>
              <m:r>
                <m:rPr/>
                <w:rPr>
                  <w:rFonts w:ascii="Cambria Math" w:hAnsi="Cambria Math"/>
                  <w:szCs w:val="21"/>
                </w:rPr>
                <m:t>dt</m:t>
              </m:r>
            </m:oMath>
          </w:p>
        </w:tc>
        <w:tc>
          <w:tcPr>
            <w:tcW w:w="930" w:type="dxa"/>
            <w:vAlign w:val="center"/>
          </w:tcPr>
          <w:p>
            <w:pPr>
              <w:ind w:firstLine="0" w:firstLineChars="0"/>
              <w:jc w:val="right"/>
            </w:pPr>
            <w:r>
              <w:t>(4-9)</w:t>
            </w:r>
          </w:p>
        </w:tc>
      </w:tr>
    </w:tbl>
    <w:p>
      <m:oMath>
        <m:r>
          <m:rPr>
            <m:sty m:val="p"/>
          </m:rPr>
          <w:rPr>
            <w:rFonts w:ascii="Cambria Math" w:hAnsi="Cambria Math"/>
            <w:szCs w:val="21"/>
          </w:rPr>
          <m:t>式中</m:t>
        </m:r>
        <m:sSub>
          <m:sSubPr>
            <m:ctrlPr>
              <w:rPr>
                <w:rFonts w:ascii="Cambria Math" w:hAnsi="Cambria Math"/>
                <w:bCs/>
                <w:szCs w:val="21"/>
              </w:rPr>
            </m:ctrlPr>
          </m:sSubPr>
          <m:e>
            <m:r>
              <m:rPr>
                <m:sty m:val="p"/>
              </m:rPr>
              <w:rPr>
                <w:rFonts w:ascii="Cambria Math" w:hAnsi="Cambria Math"/>
                <w:szCs w:val="21"/>
              </w:rPr>
              <m:t>I</m:t>
            </m:r>
            <m:ctrlPr>
              <w:rPr>
                <w:rFonts w:ascii="Cambria Math" w:hAnsi="Cambria Math"/>
                <w:bCs/>
                <w:szCs w:val="21"/>
              </w:rPr>
            </m:ctrlPr>
          </m:e>
          <m:sub>
            <m:r>
              <m:rPr>
                <m:sty m:val="p"/>
              </m:rPr>
              <w:rPr>
                <w:rFonts w:ascii="Cambria Math" w:hAnsi="Cambria Math"/>
                <w:szCs w:val="21"/>
              </w:rPr>
              <m:t>g</m:t>
            </m:r>
            <m:ctrlPr>
              <w:rPr>
                <w:rFonts w:ascii="Cambria Math" w:hAnsi="Cambria Math"/>
                <w:bCs/>
                <w:szCs w:val="21"/>
              </w:rPr>
            </m:ctrlPr>
          </m:sub>
        </m:sSub>
        <m:r>
          <m:rPr>
            <m:sty m:val="p"/>
          </m:rPr>
          <w:rPr>
            <w:rFonts w:ascii="Cambria Math" w:hAnsi="Cambria Math"/>
            <w:szCs w:val="21"/>
          </w:rPr>
          <m:t>为政府部门投资，</m:t>
        </m:r>
        <m:sSub>
          <m:sSubPr>
            <m:ctrlPr>
              <w:rPr>
                <w:rFonts w:ascii="Cambria Math" w:hAnsi="Cambria Math"/>
                <w:bCs/>
                <w:i/>
                <w:szCs w:val="21"/>
              </w:rPr>
            </m:ctrlPr>
          </m:sSubPr>
          <m:e>
            <m:r>
              <m:rPr/>
              <w:rPr>
                <w:rFonts w:ascii="Cambria Math" w:hAnsi="Cambria Math"/>
                <w:szCs w:val="21"/>
              </w:rPr>
              <m:t xml:space="preserve">  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政府部门资本积累，包括政府投资的大学和科研院所完成的科学与技术研究，政府投资建设的经济基础设施以及政府投资建设的公园等休闲娱乐设施。政府资本积累能减少私人部门外部成本，提高社会生产力水平，提高私人部门企业国际竞争力。知识</w:t>
      </w:r>
      <m:oMath>
        <m:r>
          <m:rPr>
            <m:sty m:val="p"/>
          </m:rPr>
          <w:rPr>
            <w:rFonts w:ascii="Cambria Math" w:hAnsi="Cambria Math"/>
            <w:szCs w:val="21"/>
          </w:rPr>
          <m:t>是政府部门的内生变量</m:t>
        </m:r>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按收益法即时估算，即时折旧。</w:t>
      </w:r>
    </w:p>
    <w:p>
      <w:r>
        <w:t xml:space="preserve"> （4）经济体禀赋</w:t>
      </w:r>
    </w:p>
    <w:p>
      <w:r>
        <w:t xml:space="preserve"> 经济体禀赋是新结构经济学的重要概念之一，但</w:t>
      </w:r>
      <w:r>
        <w:fldChar w:fldCharType="begin"/>
      </w:r>
      <w:r>
        <w:instrText xml:space="preserve"> ADDIN EN.CITE &lt;EndNote&gt;&lt;Cite AuthorYear="1"&gt;&lt;Author&gt;林毅夫&lt;/Author&gt;&lt;Year&gt;2011&lt;/Year&gt;&lt;RecNum&gt;971&lt;/RecNum&gt;&lt;DisplayText&gt;林毅夫 (2011)&lt;/DisplayText&gt;&lt;record&gt;&lt;rec-number&gt;971&lt;/rec-number&gt;&lt;foreign-keys&gt;&lt;key app="EN" db-id="dfw50pzpwrep2aeerx4v2xdyaa5vzeftr0xv" timestamp="1675666013"&gt;971&lt;/key&gt;&lt;/foreign-keys&gt;&lt;ref-type name="Journal Article"&gt;17&lt;/ref-type&gt;&lt;contributors&gt;&lt;authors&gt;&lt;author&gt;&lt;style face="normal" font="default" charset="134" size="100%"&gt;林毅夫&lt;/style&gt;&lt;style face="normal" font="default" size="100%"&gt;,&lt;/style&gt;&lt;/author&gt;&lt;/authors&gt;&lt;/contributors&gt;&lt;titles&gt;&lt;title&gt;&lt;style face="normal" font="default" charset="134" size="100%"&gt;新结构经济学——重构发展经济学的框架&lt;/style&gt;&lt;/title&gt;&lt;secondary-title&gt;&lt;style face="normal" font="default" charset="134" size="100%"&gt;经济学&lt;/style&gt;&lt;/secondary-title&gt;&lt;/titles&gt;&lt;periodical&gt;&lt;full-title&gt;经济学&lt;/full-title&gt;&lt;/periodical&gt;&lt;pages&gt;1-32&lt;/pages&gt;&lt;volume&gt;10&lt;/volume&gt;&lt;number&gt;01&lt;/number&gt;&lt;keywords&gt;&lt;keyword&gt;新结构经济学&lt;/keyword&gt;&lt;keyword&gt;比较优势&lt;/keyword&gt;&lt;keyword&gt;新古典经济学&lt;/keyword&gt;&lt;keyword&gt;禀赋结构&lt;/keyword&gt;&lt;keyword&gt;经济学家&lt;/keyword&gt;&lt;/keywords&gt;&lt;dates&gt;&lt;year&gt;2011&lt;/year&gt;&lt;/dates&gt;&lt;urls&gt;&lt;/urls&gt;&lt;electronic-resource-num&gt;10.13821/j.cnki.ceq.2011.01.014&amp;#xD;&lt;/electronic-resource-num&gt;&lt;/record&gt;&lt;/Cite&gt;&lt;/EndNote&gt;</w:instrText>
      </w:r>
      <w:r>
        <w:fldChar w:fldCharType="separate"/>
      </w:r>
      <w:r>
        <w:t>林毅夫 (2011)</w:t>
      </w:r>
      <w:r>
        <w:fldChar w:fldCharType="end"/>
      </w:r>
      <w:r>
        <w:t>对经济体禀赋的含义只做了文字表述。本文对经济体禀赋做如下数学化定义。</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a=A（L，N，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xml:space="preserve">） </w:t>
            </w:r>
          </w:p>
        </w:tc>
        <w:tc>
          <w:tcPr>
            <w:tcW w:w="930" w:type="dxa"/>
            <w:vAlign w:val="center"/>
          </w:tcPr>
          <w:p>
            <w:pPr>
              <w:ind w:firstLine="0" w:firstLineChars="0"/>
              <w:jc w:val="right"/>
            </w:pPr>
            <w:r>
              <w:t>(4-10)</w:t>
            </w:r>
          </w:p>
        </w:tc>
      </w:tr>
    </w:tbl>
    <w:p>
      <w:r>
        <w:t>式中N为自然资源。式（4-10）是经济体禀赋定义方程。经济体禀赋是本文模型经济体生产要素的综合指标，综合反映一个经济体生产力水平和国际竞争力，是一个经济体特定时刻不变价格社会产出的最大值，其具体含义见后文式（4-13）和图4-2不变价格社会产出与货币供应量增长率关系曲线。</w:t>
      </w:r>
    </w:p>
    <w:p>
      <w:r>
        <w:t>社会产出分消费和投资和两部分，消费改善民众生活水平，投资增加各经济主体资本积累提高经济体禀赋。</w:t>
      </w:r>
    </w:p>
    <w:p>
      <w:r>
        <w:rPr>
          <w:rFonts w:hint="eastAsia"/>
        </w:rPr>
        <w:t>3</w:t>
      </w:r>
      <w:r>
        <w:t>. 生产函数方程和通货膨胀函数方程</w:t>
      </w:r>
    </w:p>
    <w:p>
      <w:r>
        <w:t>（1）名义价格生产函数方程</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y=A（L，N，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w:t>
            </w:r>
            <m:oMath>
              <m:sSub>
                <m:sSubPr>
                  <m:ctrlPr>
                    <w:rPr>
                      <w:rFonts w:ascii="Cambria Math" w:hAnsi="Cambria Math"/>
                      <w:bCs/>
                      <w:i/>
                      <w:szCs w:val="21"/>
                    </w:rPr>
                  </m:ctrlPr>
                </m:sSubPr>
                <m:e>
                  <m:r>
                    <m:rPr/>
                    <w:rPr>
                      <w:rFonts w:ascii="Cambria Math" w:hAnsi="Cambria Math"/>
                      <w:szCs w:val="21"/>
                    </w:rPr>
                    <m:t>F</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w:p>
        </w:tc>
        <w:tc>
          <w:tcPr>
            <w:tcW w:w="930" w:type="dxa"/>
            <w:vAlign w:val="center"/>
          </w:tcPr>
          <w:p>
            <w:pPr>
              <w:ind w:firstLine="0" w:firstLineChars="0"/>
              <w:jc w:val="right"/>
            </w:pPr>
            <w:r>
              <w:t>(4-11)</w:t>
            </w:r>
          </w:p>
        </w:tc>
      </w:tr>
    </w:tbl>
    <w:p>
      <w:r>
        <w:rPr>
          <w:bCs/>
          <w:szCs w:val="21"/>
        </w:rPr>
        <w:t>式中y为单位时间名义价格社会产出。式（4-11）为名义价格社会产出定义方程。A（L，N，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）为经济体禀赋，反映经济体含知识的资本积累</w:t>
      </w:r>
      <w:r>
        <w:rPr>
          <w:bCs/>
          <w:i/>
          <w:iCs/>
          <w:szCs w:val="21"/>
        </w:rPr>
        <w:t>。</w:t>
      </w:r>
      <m:oMath>
        <m:sSub>
          <m:sSubPr>
            <m:ctrlPr>
              <w:rPr>
                <w:rFonts w:ascii="Cambria Math" w:hAnsi="Cambria Math"/>
                <w:bCs/>
                <w:i/>
                <w:szCs w:val="21"/>
              </w:rPr>
            </m:ctrlPr>
          </m:sSubPr>
          <m:e>
            <m:r>
              <m:rPr/>
              <w:rPr>
                <w:rFonts w:ascii="Cambria Math" w:hAnsi="Cambria Math"/>
                <w:szCs w:val="21"/>
              </w:rPr>
              <m:t>F</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)为名义价格社会产出因子函数，反映经济体社会需求，是货币供应量增长率的函数。函数A（L，N，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）与函数</w:t>
      </w:r>
      <m:oMath>
        <m:sSub>
          <m:sSubPr>
            <m:ctrlPr>
              <w:rPr>
                <w:rFonts w:ascii="Cambria Math" w:hAnsi="Cambria Math"/>
                <w:bCs/>
                <w:i/>
                <w:szCs w:val="21"/>
              </w:rPr>
            </m:ctrlPr>
          </m:sSubPr>
          <m:e>
            <m:r>
              <m:rPr/>
              <w:rPr>
                <w:rFonts w:ascii="Cambria Math" w:hAnsi="Cambria Math"/>
                <w:szCs w:val="21"/>
              </w:rPr>
              <m:t>F</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)不互相独立。 式（4-11）也可写成：</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y=a*F(</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w:t>
            </w:r>
          </w:p>
        </w:tc>
        <w:tc>
          <w:tcPr>
            <w:tcW w:w="930" w:type="dxa"/>
            <w:vAlign w:val="center"/>
          </w:tcPr>
          <w:p>
            <w:pPr>
              <w:ind w:firstLine="0" w:firstLineChars="0"/>
              <w:jc w:val="right"/>
            </w:pPr>
            <w:r>
              <w:t>(4-12)</w:t>
            </w:r>
          </w:p>
        </w:tc>
      </w:tr>
    </w:tbl>
    <w:p>
      <w:pPr>
        <w:rPr>
          <w:bCs/>
          <w:szCs w:val="21"/>
        </w:rPr>
      </w:pPr>
      <w:r>
        <w:rPr>
          <w:bCs/>
          <w:szCs w:val="21"/>
        </w:rPr>
        <w:t>式中</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为货币供应量单位时间增长率。F(</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w:t>
      </w:r>
      <m:oMath>
        <m:sSub>
          <m:sSubPr>
            <m:ctrlPr>
              <w:rPr>
                <w:rFonts w:ascii="Cambria Math" w:hAnsi="Cambria Math"/>
                <w:bCs/>
                <w:i/>
                <w:szCs w:val="21"/>
              </w:rPr>
            </m:ctrlPr>
          </m:sSubPr>
          <m:e>
            <m:r>
              <m:rPr/>
              <w:rPr>
                <w:rFonts w:ascii="Cambria Math" w:hAnsi="Cambria Math"/>
                <w:szCs w:val="21"/>
              </w:rPr>
              <m:t>F</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为名义价格社会产出因子函数。式（4-12）的物理意义是名义价格社会产出等于经济体禀赋乘以名义价格社会产出因子函数，即不变价格社会产出由经济体禀赋和当期社会需求决定。</w:t>
      </w:r>
    </w:p>
    <w:p>
      <w:r>
        <w:t>（2）不变价格生产函数方程</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bCs/>
                      <w:i/>
                      <w:szCs w:val="21"/>
                    </w:rPr>
                  </m:ctrlPr>
                </m:sSupPr>
                <m:e>
                  <m:r>
                    <m:rPr/>
                    <w:rPr>
                      <w:rFonts w:ascii="Cambria Math" w:hAnsi="Cambria Math"/>
                      <w:szCs w:val="21"/>
                    </w:rPr>
                    <m:t>y</m:t>
                  </m:r>
                  <m:ctrlPr>
                    <w:rPr>
                      <w:rFonts w:ascii="Cambria Math" w:hAnsi="Cambria Math"/>
                      <w:bCs/>
                      <w:i/>
                      <w:szCs w:val="21"/>
                    </w:rPr>
                  </m:ctrlPr>
                </m:e>
                <m:sup>
                  <m:r>
                    <m:rPr/>
                    <w:rPr>
                      <w:rFonts w:ascii="Cambria Math" w:hAnsi="Cambria Math"/>
                      <w:szCs w:val="21"/>
                    </w:rPr>
                    <m:t>'</m:t>
                  </m:r>
                  <m:ctrlPr>
                    <w:rPr>
                      <w:rFonts w:ascii="Cambria Math" w:hAnsi="Cambria Math"/>
                      <w:bCs/>
                      <w:i/>
                      <w:szCs w:val="21"/>
                    </w:rPr>
                  </m:ctrlPr>
                </m:sup>
              </m:sSup>
            </m:oMath>
            <w:r>
              <w:rPr>
                <w:bCs/>
                <w:szCs w:val="21"/>
              </w:rPr>
              <w:t>=A（L，N，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G</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w:p>
        </w:tc>
        <w:tc>
          <w:tcPr>
            <w:tcW w:w="930" w:type="dxa"/>
            <w:vAlign w:val="center"/>
          </w:tcPr>
          <w:p>
            <w:pPr>
              <w:ind w:firstLine="0" w:firstLineChars="0"/>
              <w:jc w:val="right"/>
            </w:pPr>
            <w:r>
              <w:t>(4-13)</w:t>
            </w:r>
          </w:p>
        </w:tc>
      </w:tr>
    </w:tbl>
    <w:p>
      <w:pPr>
        <w:ind w:left="210" w:leftChars="100" w:firstLine="210" w:firstLineChars="100"/>
        <w:rPr>
          <w:bCs/>
          <w:szCs w:val="21"/>
        </w:rPr>
      </w:pPr>
      <w:r>
        <w:rPr>
          <w:bCs/>
          <w:szCs w:val="21"/>
        </w:rPr>
        <w:t>式</w:t>
      </w:r>
      <w:r>
        <w:rPr>
          <w:bCs/>
          <w:i/>
          <w:iCs/>
          <w:szCs w:val="21"/>
        </w:rPr>
        <w:t>中</w:t>
      </w:r>
      <m:oMath>
        <m:sSup>
          <m:sSupPr>
            <m:ctrlPr>
              <w:rPr>
                <w:rFonts w:ascii="Cambria Math" w:hAnsi="Cambria Math"/>
                <w:bCs/>
                <w:i/>
                <w:szCs w:val="21"/>
              </w:rPr>
            </m:ctrlPr>
          </m:sSupPr>
          <m:e>
            <m:r>
              <m:rPr/>
              <w:rPr>
                <w:rFonts w:ascii="Cambria Math" w:hAnsi="Cambria Math"/>
                <w:szCs w:val="21"/>
              </w:rPr>
              <m:t>y</m:t>
            </m:r>
            <m:ctrlPr>
              <w:rPr>
                <w:rFonts w:ascii="Cambria Math" w:hAnsi="Cambria Math"/>
                <w:bCs/>
                <w:i/>
                <w:szCs w:val="21"/>
              </w:rPr>
            </m:ctrlPr>
          </m:e>
          <m:sup>
            <m:r>
              <m:rPr/>
              <w:rPr>
                <w:rFonts w:ascii="Cambria Math" w:hAnsi="Cambria Math"/>
                <w:szCs w:val="21"/>
              </w:rPr>
              <m:t>'</m:t>
            </m:r>
            <m:ctrlPr>
              <w:rPr>
                <w:rFonts w:ascii="Cambria Math" w:hAnsi="Cambria Math"/>
                <w:bCs/>
                <w:i/>
                <w:szCs w:val="21"/>
              </w:rPr>
            </m:ctrlPr>
          </m:sup>
        </m:sSup>
      </m:oMath>
      <w:r>
        <w:rPr>
          <w:bCs/>
          <w:szCs w:val="21"/>
        </w:rPr>
        <w:t>为单位时间不变价格社会产出。式（4-13）为不变价格社会产出定义方程</w:t>
      </w:r>
      <w:r>
        <w:rPr>
          <w:bCs/>
          <w:i/>
          <w:iCs/>
          <w:szCs w:val="21"/>
        </w:rPr>
        <w:t>。</w:t>
      </w:r>
      <m:oMath>
        <m:sSub>
          <m:sSubPr>
            <m:ctrlPr>
              <w:rPr>
                <w:rFonts w:ascii="Cambria Math" w:hAnsi="Cambria Math"/>
                <w:bCs/>
                <w:i/>
                <w:szCs w:val="21"/>
              </w:rPr>
            </m:ctrlPr>
          </m:sSubPr>
          <m:e>
            <m:r>
              <m:rPr/>
              <w:rPr>
                <w:rFonts w:ascii="Cambria Math" w:hAnsi="Cambria Math"/>
                <w:szCs w:val="21"/>
              </w:rPr>
              <m:t>G</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为不变价格社会产出因子函数，是社会需求或货币供应量增长率的函数。函数A（L，N，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）与函数</w:t>
      </w:r>
      <m:oMath>
        <m:sSub>
          <m:sSubPr>
            <m:ctrlPr>
              <w:rPr>
                <w:rFonts w:ascii="Cambria Math" w:hAnsi="Cambria Math"/>
                <w:bCs/>
                <w:i/>
                <w:szCs w:val="21"/>
              </w:rPr>
            </m:ctrlPr>
          </m:sSubPr>
          <m:e>
            <m:r>
              <m:rPr/>
              <w:rPr>
                <w:rFonts w:ascii="Cambria Math" w:hAnsi="Cambria Math"/>
                <w:szCs w:val="21"/>
              </w:rPr>
              <m:t>G</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不互相独立。 式（4-13）也可写成：</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bCs/>
                      <w:i/>
                      <w:szCs w:val="21"/>
                    </w:rPr>
                  </m:ctrlPr>
                </m:sSupPr>
                <m:e>
                  <m:r>
                    <m:rPr/>
                    <w:rPr>
                      <w:rFonts w:ascii="Cambria Math" w:hAnsi="Cambria Math"/>
                      <w:szCs w:val="21"/>
                    </w:rPr>
                    <m:t>y</m:t>
                  </m:r>
                  <m:ctrlPr>
                    <w:rPr>
                      <w:rFonts w:ascii="Cambria Math" w:hAnsi="Cambria Math"/>
                      <w:bCs/>
                      <w:i/>
                      <w:szCs w:val="21"/>
                    </w:rPr>
                  </m:ctrlPr>
                </m:e>
                <m:sup>
                  <m:r>
                    <m:rPr/>
                    <w:rPr>
                      <w:rFonts w:ascii="Cambria Math" w:hAnsi="Cambria Math"/>
                      <w:szCs w:val="21"/>
                    </w:rPr>
                    <m:t>'</m:t>
                  </m:r>
                  <m:ctrlPr>
                    <w:rPr>
                      <w:rFonts w:ascii="Cambria Math" w:hAnsi="Cambria Math"/>
                      <w:bCs/>
                      <w:i/>
                      <w:szCs w:val="21"/>
                    </w:rPr>
                  </m:ctrlPr>
                </m:sup>
              </m:sSup>
            </m:oMath>
            <w:r>
              <w:rPr>
                <w:bCs/>
                <w:szCs w:val="21"/>
              </w:rPr>
              <w:t>=a*G(</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 xml:space="preserve">)  </w:t>
            </w:r>
          </w:p>
        </w:tc>
        <w:tc>
          <w:tcPr>
            <w:tcW w:w="930" w:type="dxa"/>
            <w:vAlign w:val="center"/>
          </w:tcPr>
          <w:p>
            <w:pPr>
              <w:ind w:firstLine="0" w:firstLineChars="0"/>
              <w:jc w:val="right"/>
            </w:pPr>
            <w:r>
              <w:t>(4-14)</w:t>
            </w:r>
          </w:p>
        </w:tc>
      </w:tr>
    </w:tbl>
    <w:p>
      <w:r>
        <w:t>式（4-14）是单位时间不变价格社会产出的定义式方程，其物理意义是不变价格社会产出等于经济禀赋乘以不变价格社会产出因子函数，即不变价格社会产出由经济体禀赋和当期社会需求决定。</w:t>
      </w:r>
      <w:r>
        <w:rPr>
          <w:rFonts w:hint="eastAsia"/>
        </w:rPr>
        <w:t>后文</w:t>
      </w:r>
      <w:r>
        <w:t>图4-2不变价格社会产出与货币供应量增长率关系曲线</w:t>
      </w:r>
      <w:r>
        <w:rPr>
          <w:rFonts w:hint="eastAsia"/>
        </w:rPr>
        <w:t>将指出，经济体禀赋</w:t>
      </w:r>
      <w:r>
        <w:rPr>
          <w:bCs/>
          <w:szCs w:val="21"/>
        </w:rPr>
        <w:t>a=A（L，N，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w:r>
        <w:rPr>
          <w:rFonts w:hint="eastAsia"/>
        </w:rPr>
        <w:t>为</w:t>
      </w:r>
      <w:r>
        <w:t>单位时间不变价格社会产出</w:t>
      </w:r>
      <w:r>
        <w:rPr>
          <w:rFonts w:hint="eastAsia"/>
        </w:rPr>
        <w:t>的上限。</w:t>
      </w:r>
    </w:p>
    <w:p>
      <w:r>
        <w:t xml:space="preserve">（3）通货膨胀率函数方程 </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p=</w:t>
            </w:r>
            <m:oMath>
              <m:sSub>
                <m:sSubPr>
                  <m:ctrlPr>
                    <w:rPr>
                      <w:rFonts w:ascii="Cambria Math" w:hAnsi="Cambria Math"/>
                      <w:bCs/>
                      <w:i/>
                      <w:szCs w:val="21"/>
                    </w:rPr>
                  </m:ctrlPr>
                </m:sSubPr>
                <m:e>
                  <m:r>
                    <m:rPr/>
                    <w:rPr>
                      <w:rFonts w:ascii="Cambria Math" w:hAnsi="Cambria Math"/>
                      <w:szCs w:val="21"/>
                    </w:rPr>
                    <m:t>H</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(a,</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w:p>
        </w:tc>
        <w:tc>
          <w:tcPr>
            <w:tcW w:w="930" w:type="dxa"/>
            <w:vAlign w:val="center"/>
          </w:tcPr>
          <w:p>
            <w:pPr>
              <w:ind w:firstLine="0" w:firstLineChars="0"/>
              <w:jc w:val="right"/>
            </w:pPr>
            <w:r>
              <w:t>(4-15)</w:t>
            </w:r>
          </w:p>
        </w:tc>
      </w:tr>
    </w:tbl>
    <w:p>
      <w:pPr>
        <w:rPr>
          <w:bCs/>
          <w:szCs w:val="21"/>
        </w:rPr>
      </w:pPr>
      <w:r>
        <w:rPr>
          <w:bCs/>
          <w:szCs w:val="21"/>
        </w:rPr>
        <w:t>式中p为通货膨胀率（居民消费品价格上涨率）。</w:t>
      </w:r>
      <m:oMath>
        <m:sSub>
          <m:sSubPr>
            <m:ctrlPr>
              <w:rPr>
                <w:rFonts w:ascii="Cambria Math" w:hAnsi="Cambria Math"/>
                <w:bCs/>
                <w:i/>
                <w:szCs w:val="21"/>
              </w:rPr>
            </m:ctrlPr>
          </m:sSubPr>
          <m:e>
            <m:r>
              <m:rPr/>
              <w:rPr>
                <w:rFonts w:ascii="Cambria Math" w:hAnsi="Cambria Math"/>
                <w:szCs w:val="21"/>
              </w:rPr>
              <m:t>H</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(a,</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)为通货膨胀率函数，是社会需求或货币供应量增长率的函数，因而式（4-15）可写成：</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p=H(</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w:t>
            </w:r>
          </w:p>
        </w:tc>
        <w:tc>
          <w:tcPr>
            <w:tcW w:w="930" w:type="dxa"/>
            <w:vAlign w:val="center"/>
          </w:tcPr>
          <w:p>
            <w:pPr>
              <w:ind w:firstLine="0" w:firstLineChars="0"/>
              <w:jc w:val="right"/>
            </w:pPr>
            <w:r>
              <w:t>(4-16)</w:t>
            </w:r>
          </w:p>
        </w:tc>
      </w:tr>
    </w:tbl>
    <w:p>
      <w:pPr>
        <w:rPr>
          <w:bCs/>
          <w:szCs w:val="21"/>
        </w:rPr>
      </w:pPr>
      <w:r>
        <w:rPr>
          <w:bCs/>
          <w:szCs w:val="21"/>
        </w:rPr>
        <w:t>式</w:t>
      </w:r>
      <w:r>
        <w:rPr>
          <w:rFonts w:hint="eastAsia"/>
          <w:bCs/>
          <w:szCs w:val="21"/>
        </w:rPr>
        <w:t>（4-15），</w:t>
      </w:r>
      <w:r>
        <w:rPr>
          <w:bCs/>
          <w:szCs w:val="21"/>
        </w:rPr>
        <w:t>（4-16）是关于通货膨胀率的定义式方程，其物理意义是通货膨胀率是社会需求或货币供应量增长率的函数。</w:t>
      </w:r>
    </w:p>
    <w:p>
      <w:pPr>
        <w:ind w:firstLineChars="0"/>
      </w:pPr>
      <w:r>
        <w:rPr>
          <w:rFonts w:hint="eastAsia"/>
        </w:rPr>
        <w:t>4</w:t>
      </w:r>
      <w:r>
        <w:t>. 异质货币数量方程</w:t>
      </w:r>
    </w:p>
    <w:p>
      <w:r>
        <w:t>城市居民住房价格由城市居民货币财富竞争性排序形成，一般商品价格由商品成本决定，两种价格形成机制不同。为此本文提出异质货币数量方程：</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szCs w:val="21"/>
              </w:rPr>
              <w:t xml:space="preserve">  M=</w:t>
            </w:r>
            <m:oMath>
              <m:nary>
                <m:naryPr>
                  <m:chr m:val="∑"/>
                  <m:limLoc m:val="undOvr"/>
                  <m:subHide m:val="1"/>
                  <m:supHide m:val="1"/>
                  <m:ctrlPr>
                    <w:rPr>
                      <w:rFonts w:ascii="Cambria Math" w:hAnsi="Cambria Math"/>
                      <w:szCs w:val="21"/>
                    </w:rPr>
                  </m:ctrlPr>
                </m:naryPr>
                <m:sub>
                  <m:ctrlPr>
                    <w:rPr>
                      <w:rFonts w:ascii="Cambria Math" w:hAnsi="Cambria Math"/>
                      <w:szCs w:val="21"/>
                    </w:rPr>
                  </m:ctrlPr>
                </m:sub>
                <m:sup>
                  <m:ctrlPr>
                    <w:rPr>
                      <w:rFonts w:ascii="Cambria Math" w:hAnsi="Cambria Math"/>
                      <w:szCs w:val="21"/>
                    </w:rPr>
                  </m:ctrlPr>
                </m:sup>
                <m:e>
                  <m:sSub>
                    <m:sSubPr>
                      <m:ctrlPr>
                        <w:rPr>
                          <w:rFonts w:ascii="Cambria Math" w:hAnsi="Cambria Math"/>
                          <w:szCs w:val="21"/>
                        </w:rPr>
                      </m:ctrlPr>
                    </m:sSubPr>
                    <m:e>
                      <m:r>
                        <m:rPr>
                          <m:sty m:val="p"/>
                        </m:rPr>
                        <w:rPr>
                          <w:rFonts w:ascii="Cambria Math" w:hAnsi="Cambria Math"/>
                          <w:szCs w:val="21"/>
                        </w:rPr>
                        <m:t>k</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sSub>
                    <m:sSubPr>
                      <m:ctrlPr>
                        <w:rPr>
                          <w:rFonts w:ascii="Cambria Math" w:hAnsi="Cambria Math"/>
                          <w:i/>
                          <w:szCs w:val="21"/>
                        </w:rPr>
                      </m:ctrlPr>
                    </m:sSubPr>
                    <m:e>
                      <m:r>
                        <m:rPr/>
                        <w:rPr>
                          <w:rFonts w:ascii="Cambria Math" w:hAnsi="Cambria Math"/>
                          <w:szCs w:val="21"/>
                        </w:rPr>
                        <m:t>P</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sSub>
                    <m:sSubPr>
                      <m:ctrlPr>
                        <w:rPr>
                          <w:rFonts w:ascii="Cambria Math" w:hAnsi="Cambria Math"/>
                          <w:i/>
                          <w:szCs w:val="21"/>
                        </w:rPr>
                      </m:ctrlPr>
                    </m:sSubPr>
                    <m:e>
                      <m:r>
                        <m:rPr/>
                        <w:rPr>
                          <w:rFonts w:ascii="Cambria Math" w:hAnsi="Cambria Math"/>
                          <w:szCs w:val="21"/>
                        </w:rPr>
                        <m:t>Q</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ctrlPr>
                    <w:rPr>
                      <w:rFonts w:ascii="Cambria Math" w:hAnsi="Cambria Math"/>
                      <w:szCs w:val="21"/>
                    </w:rPr>
                  </m:ctrlPr>
                </m:e>
              </m:nary>
            </m:oMath>
          </w:p>
        </w:tc>
        <w:tc>
          <w:tcPr>
            <w:tcW w:w="930" w:type="dxa"/>
            <w:vAlign w:val="center"/>
          </w:tcPr>
          <w:p>
            <w:pPr>
              <w:ind w:firstLine="0" w:firstLineChars="0"/>
              <w:jc w:val="right"/>
            </w:pPr>
            <w:r>
              <w:t>(4-17)</w:t>
            </w:r>
          </w:p>
        </w:tc>
      </w:tr>
    </w:tbl>
    <w:p>
      <w:r>
        <w:t xml:space="preserve"> </w:t>
      </w:r>
      <w:r>
        <w:rPr>
          <w:rFonts w:hint="eastAsia"/>
        </w:rPr>
        <w:t>式中</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i</m:t>
            </m:r>
            <m:ctrlPr>
              <w:rPr>
                <w:rFonts w:ascii="Cambria Math" w:hAnsi="Cambria Math"/>
                <w:i/>
              </w:rPr>
            </m:ctrlPr>
          </m:sub>
        </m:sSub>
      </m:oMath>
      <w:r>
        <w:rPr>
          <w:rFonts w:hint="eastAsia" w:hAnsi="Cambria Math"/>
        </w:rPr>
        <w:t>为第i种商品的货币供应量系数，</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i</m:t>
            </m:r>
            <m:ctrlPr>
              <w:rPr>
                <w:rFonts w:ascii="Cambria Math" w:hAnsi="Cambria Math"/>
                <w:i/>
              </w:rPr>
            </m:ctrlPr>
          </m:sub>
        </m:sSub>
      </m:oMath>
      <w:r>
        <w:rPr>
          <w:rFonts w:hint="eastAsia" w:hAnsi="Cambria Math"/>
        </w:rPr>
        <w:t>为第i种商品的市场价格，</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i</m:t>
            </m:r>
            <m:ctrlPr>
              <w:rPr>
                <w:rFonts w:ascii="Cambria Math" w:hAnsi="Cambria Math"/>
                <w:i/>
              </w:rPr>
            </m:ctrlPr>
          </m:sub>
        </m:sSub>
      </m:oMath>
      <w:r>
        <w:rPr>
          <w:rFonts w:hint="eastAsia" w:hAnsi="Cambria Math"/>
        </w:rPr>
        <w:t>为第i种商品的销售量。</w:t>
      </w:r>
      <w:r>
        <w:t>图4-1为1979年以来中国货币供应量M1增长率，住房价格增长率，CPI增长率对比图。可以看出，居民消费品物价指数上涨率与居民住房价格上涨率表现出比较大的差异性，在消费品物价指数年增长率低于2%的时间里，货币供应量增长率可以保持每年10%以上，这支持异质货币数量方程主张。</w:t>
      </w:r>
    </w:p>
    <w:p>
      <w:r>
        <w:rPr>
          <w:rFonts w:hint="eastAsia" w:asciiTheme="minorEastAsia" w:hAnsiTheme="minorEastAsia" w:eastAsiaTheme="minorEastAsia" w:cstheme="minorEastAsia"/>
          <w:szCs w:val="21"/>
        </w:rPr>
        <w:drawing>
          <wp:inline distT="0" distB="0" distL="0" distR="0">
            <wp:extent cx="5270500" cy="407670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0500" cy="4076700"/>
                    </a:xfrm>
                    <a:prstGeom prst="rect">
                      <a:avLst/>
                    </a:prstGeom>
                    <a:noFill/>
                    <a:ln>
                      <a:noFill/>
                    </a:ln>
                  </pic:spPr>
                </pic:pic>
              </a:graphicData>
            </a:graphic>
          </wp:inline>
        </w:drawing>
      </w:r>
    </w:p>
    <w:p>
      <w:pPr>
        <w:pStyle w:val="5"/>
        <w:ind w:firstLine="360"/>
      </w:pPr>
      <w:r>
        <w:rPr>
          <w:rFonts w:hint="eastAsia"/>
        </w:rPr>
        <w:t>图4-</w:t>
      </w:r>
      <w:r>
        <w:t>1 1979</w:t>
      </w:r>
      <w:r>
        <w:rPr>
          <w:rFonts w:hint="eastAsia"/>
        </w:rPr>
        <w:t>至2</w:t>
      </w:r>
      <w:r>
        <w:t>020</w:t>
      </w:r>
      <w:r>
        <w:rPr>
          <w:rFonts w:hint="eastAsia"/>
        </w:rPr>
        <w:t>年中国货币供应量、居民消费价格指数、住房价格增长率</w:t>
      </w:r>
    </w:p>
    <w:p>
      <w:r>
        <w:rPr>
          <w:rFonts w:hint="eastAsia"/>
        </w:rPr>
        <w:t>货币供应量增长率是政府投资和政府货币政策的操作空间。消费品物价指数年增长率低于2%的时间里，货币供应量增长率可以保持年10%以上，这意味着政府投资和政府货币政策有比较大的操作空间。</w:t>
      </w:r>
    </w:p>
    <w:p>
      <w:pPr>
        <w:pStyle w:val="4"/>
        <w:ind w:left="420" w:leftChars="200" w:firstLine="0" w:firstLineChars="0"/>
        <w:rPr>
          <w:rFonts w:hint="default"/>
          <w:lang w:val="en-US"/>
        </w:rPr>
      </w:pPr>
      <w:r>
        <w:rPr>
          <w:rFonts w:hint="eastAsia"/>
        </w:rPr>
        <w:t>（</w:t>
      </w:r>
      <w:r>
        <w:rPr>
          <w:rFonts w:hint="eastAsia"/>
          <w:lang w:val="en-US" w:eastAsia="zh-CN"/>
        </w:rPr>
        <w:t>五</w:t>
      </w:r>
      <w:r>
        <w:rPr>
          <w:rFonts w:hint="eastAsia"/>
        </w:rPr>
        <w:t>）</w:t>
      </w:r>
      <w:r>
        <w:rPr>
          <w:rFonts w:hint="eastAsia"/>
          <w:lang w:val="en-US" w:eastAsia="zh-CN"/>
        </w:rPr>
        <w:t>宏观</w:t>
      </w:r>
      <w:r>
        <w:rPr>
          <w:rFonts w:hint="default"/>
          <w:lang w:eastAsia="zh-CN"/>
        </w:rPr>
        <w:t>模型</w:t>
      </w:r>
      <w:r>
        <w:rPr>
          <w:rFonts w:hint="eastAsia"/>
          <w:lang w:val="en-US" w:eastAsia="zh-CN"/>
        </w:rPr>
        <w:t>基本规律假设</w:t>
      </w:r>
    </w:p>
    <w:p>
      <w:pPr>
        <w:ind w:left="0" w:leftChars="0" w:firstLine="0" w:firstLineChars="0"/>
        <w:rPr>
          <w:rFonts w:hint="default"/>
        </w:rPr>
      </w:pPr>
      <w:r>
        <w:t xml:space="preserve">    </w:t>
      </w:r>
      <w:r>
        <w:rPr>
          <w:rFonts w:hint="eastAsia"/>
        </w:rPr>
        <w:t>图4-2</w:t>
      </w:r>
      <w:r>
        <w:rPr>
          <w:rFonts w:hint="default"/>
        </w:rPr>
        <w:t>为</w:t>
      </w:r>
      <w:r>
        <w:rPr>
          <w:rFonts w:hint="eastAsia"/>
        </w:rPr>
        <w:t>分别根据式（4-1</w:t>
      </w:r>
      <w:r>
        <w:t>2</w:t>
      </w:r>
      <w:r>
        <w:rPr>
          <w:rFonts w:hint="eastAsia"/>
        </w:rPr>
        <w:t>），（4-1</w:t>
      </w:r>
      <w:r>
        <w:t>4</w:t>
      </w:r>
      <w:r>
        <w:rPr>
          <w:rFonts w:hint="eastAsia"/>
        </w:rPr>
        <w:t>）和式（4-1</w:t>
      </w:r>
      <w:r>
        <w:t>6</w:t>
      </w:r>
      <w:r>
        <w:rPr>
          <w:rFonts w:hint="eastAsia"/>
        </w:rPr>
        <w:t>）做出的关于名义价格社会产出与货币供应量增长率、不变价格社会产出与货币供应量增长率和通货膨胀率与货币供应量增长率</w:t>
      </w:r>
      <w:r>
        <w:rPr>
          <w:rFonts w:hint="eastAsia"/>
          <w:lang w:val="en-US" w:eastAsia="zh-CN"/>
        </w:rPr>
        <w:t>三条宏观经济变量</w:t>
      </w:r>
      <w:r>
        <w:rPr>
          <w:rFonts w:hint="eastAsia"/>
        </w:rPr>
        <w:t>关系曲线。</w:t>
      </w:r>
      <w:r>
        <w:rPr>
          <w:rFonts w:hint="eastAsia"/>
          <w:lang w:val="en-US" w:eastAsia="zh-CN"/>
        </w:rPr>
        <w:t>仿</w:t>
      </w:r>
      <w:r>
        <w:rPr>
          <w:rFonts w:hint="eastAsia" w:asciiTheme="minorEastAsia" w:hAnsiTheme="minorEastAsia" w:eastAsiaTheme="minorEastAsia" w:cstheme="minorEastAsia"/>
          <w:szCs w:val="21"/>
        </w:rPr>
        <w:t>索洛</w:t>
      </w:r>
      <w:r>
        <w:rPr>
          <w:rFonts w:hint="eastAsia" w:asciiTheme="minorEastAsia" w:hAnsiTheme="minorEastAsia" w:eastAsiaTheme="minorEastAsia" w:cstheme="minorEastAsia"/>
          <w:szCs w:val="21"/>
          <w:lang w:val="en-US" w:eastAsia="zh-CN"/>
        </w:rPr>
        <w:t>经济增长</w:t>
      </w:r>
      <w:r>
        <w:rPr>
          <w:rFonts w:hint="eastAsia" w:asciiTheme="minorEastAsia" w:hAnsiTheme="minorEastAsia" w:eastAsiaTheme="minorEastAsia" w:cstheme="minorEastAsia"/>
          <w:szCs w:val="21"/>
        </w:rPr>
        <w:t>模型和希克斯</w:t>
      </w:r>
      <w:r>
        <w:rPr>
          <w:rFonts w:hint="eastAsia" w:asciiTheme="minorEastAsia" w:hAnsiTheme="minorEastAsia" w:eastAsiaTheme="minorEastAsia" w:cstheme="minorEastAsia"/>
          <w:szCs w:val="21"/>
          <w:lang w:val="en-US" w:eastAsia="zh-CN"/>
        </w:rPr>
        <w:t>IS-LM</w:t>
      </w:r>
      <w:r>
        <w:rPr>
          <w:rFonts w:hint="eastAsia" w:asciiTheme="minorEastAsia" w:hAnsiTheme="minorEastAsia" w:eastAsiaTheme="minorEastAsia" w:cstheme="minorEastAsia"/>
          <w:szCs w:val="21"/>
        </w:rPr>
        <w:t>模型，</w:t>
      </w:r>
      <w:r>
        <w:rPr>
          <w:rFonts w:hint="eastAsia" w:asciiTheme="minorEastAsia" w:hAnsiTheme="minorEastAsia" w:eastAsiaTheme="minorEastAsia" w:cstheme="minorEastAsia"/>
          <w:szCs w:val="21"/>
          <w:lang w:val="en-US" w:eastAsia="zh-CN"/>
        </w:rPr>
        <w:t>本文对</w:t>
      </w:r>
      <w:r>
        <w:rPr>
          <w:rFonts w:hint="eastAsia"/>
        </w:rPr>
        <w:t>这三条</w:t>
      </w:r>
      <w:r>
        <w:rPr>
          <w:rFonts w:hint="eastAsia"/>
          <w:lang w:val="en-US" w:eastAsia="zh-CN"/>
        </w:rPr>
        <w:t>宏观经济变量关系</w:t>
      </w:r>
      <w:r>
        <w:rPr>
          <w:rFonts w:hint="eastAsia"/>
        </w:rPr>
        <w:t>曲线</w:t>
      </w:r>
      <w:r>
        <w:rPr>
          <w:rFonts w:hint="eastAsia"/>
          <w:lang w:val="en-US" w:eastAsia="zh-CN"/>
        </w:rPr>
        <w:t>的特性做出</w:t>
      </w:r>
      <w:r>
        <w:rPr>
          <w:rFonts w:hint="default"/>
          <w:lang w:eastAsia="zh-CN"/>
        </w:rPr>
        <w:t>如图4-2所示的</w:t>
      </w:r>
      <w:r>
        <w:rPr>
          <w:rFonts w:hint="eastAsia"/>
          <w:lang w:val="en-US" w:eastAsia="zh-CN"/>
        </w:rPr>
        <w:t>假设，作为本文</w:t>
      </w:r>
      <w:r>
        <w:rPr>
          <w:rFonts w:hint="default"/>
          <w:lang w:eastAsia="zh-CN"/>
        </w:rPr>
        <w:t>社会主义市场经济</w:t>
      </w:r>
      <w:r>
        <w:rPr>
          <w:rFonts w:hint="eastAsia"/>
          <w:lang w:val="en-US" w:eastAsia="zh-CN"/>
        </w:rPr>
        <w:t>理论的</w:t>
      </w:r>
      <w:r>
        <w:rPr>
          <w:rFonts w:hint="default"/>
          <w:lang w:eastAsia="zh-CN"/>
        </w:rPr>
        <w:t>宏观</w:t>
      </w:r>
      <w:r>
        <w:rPr>
          <w:rFonts w:hint="eastAsia"/>
          <w:lang w:val="en-US" w:eastAsia="zh-CN"/>
        </w:rPr>
        <w:t>基本规律假设</w:t>
      </w:r>
      <w:r>
        <w:rPr>
          <w:rFonts w:hint="default"/>
          <w:lang w:eastAsia="zh-CN"/>
        </w:rPr>
        <w:t>，构成社会主义市场经济模型经济体的政府</w:t>
      </w:r>
      <w:r>
        <w:rPr>
          <w:rFonts w:hint="eastAsia"/>
          <w:lang w:val="en-US" w:eastAsia="zh-CN"/>
        </w:rPr>
        <w:t>政策方向</w:t>
      </w:r>
      <w:r>
        <w:rPr>
          <w:rFonts w:hint="default"/>
          <w:lang w:eastAsia="zh-CN"/>
        </w:rPr>
        <w:t>和约束边界。</w:t>
      </w:r>
    </w:p>
    <w:p>
      <w:pPr>
        <w:jc w:val="center"/>
      </w:pPr>
      <w:r>
        <w:drawing>
          <wp:inline distT="0" distB="0" distL="0" distR="0">
            <wp:extent cx="3364865" cy="2469515"/>
            <wp:effectExtent l="0" t="0" r="6985"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a:extLst>
                        <a:ext uri="{28A0092B-C50C-407E-A947-70E740481C1C}">
                          <a14:useLocalDpi xmlns:a14="http://schemas.microsoft.com/office/drawing/2010/main" val="0"/>
                        </a:ext>
                      </a:extLst>
                    </a:blip>
                    <a:srcRect l="22772" t="28942" r="34096" b="14786"/>
                    <a:stretch>
                      <a:fillRect/>
                    </a:stretch>
                  </pic:blipFill>
                  <pic:spPr>
                    <a:xfrm>
                      <a:off x="0" y="0"/>
                      <a:ext cx="3381922" cy="2482480"/>
                    </a:xfrm>
                    <a:prstGeom prst="rect">
                      <a:avLst/>
                    </a:prstGeom>
                    <a:noFill/>
                    <a:ln>
                      <a:noFill/>
                    </a:ln>
                  </pic:spPr>
                </pic:pic>
              </a:graphicData>
            </a:graphic>
          </wp:inline>
        </w:drawing>
      </w:r>
    </w:p>
    <w:p>
      <w:pPr>
        <w:pStyle w:val="5"/>
        <w:ind w:firstLine="360"/>
        <w:rPr>
          <w:rFonts w:eastAsia="宋体"/>
        </w:rPr>
      </w:pPr>
      <w:r>
        <w:rPr>
          <w:rFonts w:hint="eastAsia"/>
        </w:rPr>
        <w:t>图4-</w:t>
      </w:r>
      <w:r>
        <w:t xml:space="preserve">2 </w:t>
      </w:r>
      <w:r>
        <w:rPr>
          <w:rFonts w:hint="eastAsia"/>
        </w:rPr>
        <w:t>假设的名义价格产出、不变价格产出、通货膨胀率与货币供应量增长率</w:t>
      </w:r>
      <w:r>
        <w:rPr>
          <w:rFonts w:hint="eastAsia" w:hAnsi="Cambria Math"/>
          <w:bCs/>
          <w:szCs w:val="21"/>
        </w:rPr>
        <w:t>的</w:t>
      </w:r>
      <w:r>
        <w:rPr>
          <w:rFonts w:hint="eastAsia"/>
        </w:rPr>
        <w:t>关系曲线</w:t>
      </w:r>
    </w:p>
    <w:p>
      <w:pPr>
        <w:pStyle w:val="31"/>
        <w:numPr>
          <w:ilvl w:val="0"/>
          <w:numId w:val="4"/>
        </w:numPr>
        <w:ind w:firstLine="420" w:firstLineChars="200"/>
      </w:pPr>
      <w:r>
        <w:t>单位时间不变价格社会产出与货币供应量增长率曲线</w:t>
      </w:r>
    </w:p>
    <w:p>
      <w:r>
        <w:t>该曲线的趋势是政府投资和货币政策带来的名义价格社会需求越大，由此带来的货币供应量增长率越高，单位时间不变价格社会产出越高。但该曲线存在一个上限a，不管政府投资和货币政策带来的名义价格社会需求有多大，因此带来的货币供应量增长率有多高，单位时间不变价格社会产出都不会超过a，即</w:t>
      </w:r>
      <m:oMath>
        <m:sSup>
          <m:sSupPr>
            <m:ctrlPr>
              <w:rPr>
                <w:rFonts w:ascii="Cambria Math" w:hAnsi="Cambria Math"/>
                <w:i/>
                <w:szCs w:val="21"/>
              </w:rPr>
            </m:ctrlPr>
          </m:sSupPr>
          <m:e>
            <m:r>
              <m:rPr/>
              <w:rPr>
                <w:rFonts w:ascii="Cambria Math" w:hAnsi="Cambria Math"/>
                <w:szCs w:val="21"/>
              </w:rPr>
              <m:t>y</m:t>
            </m:r>
            <m:ctrlPr>
              <w:rPr>
                <w:rFonts w:ascii="Cambria Math" w:hAnsi="Cambria Math"/>
                <w:i/>
                <w:szCs w:val="21"/>
              </w:rPr>
            </m:ctrlPr>
          </m:e>
          <m:sup>
            <m:r>
              <m:rPr/>
              <w:rPr>
                <w:rFonts w:ascii="Cambria Math" w:hAnsi="Cambria Math"/>
                <w:szCs w:val="21"/>
              </w:rPr>
              <m:t>'</m:t>
            </m:r>
            <m:ctrlPr>
              <w:rPr>
                <w:rFonts w:ascii="Cambria Math" w:hAnsi="Cambria Math"/>
                <w:i/>
                <w:szCs w:val="21"/>
              </w:rPr>
            </m:ctrlPr>
          </m:sup>
        </m:sSup>
      </m:oMath>
      <w:r>
        <w:rPr>
          <w:szCs w:val="21"/>
        </w:rPr>
        <w:t>&lt;a</w:t>
      </w:r>
      <w:r>
        <w:t>。a值为经济体特定时刻最大单位时间不变价格社会产出，是该时刻由式（4-10）表述的经济体禀赋。</w:t>
      </w:r>
    </w:p>
    <w:p>
      <w:pPr>
        <w:pStyle w:val="31"/>
        <w:numPr>
          <w:ilvl w:val="0"/>
          <w:numId w:val="4"/>
        </w:numPr>
        <w:ind w:left="0" w:leftChars="0" w:firstLine="420" w:firstLineChars="200"/>
      </w:pPr>
      <w:r>
        <w:t>通货膨胀率与货币供应量增长率关系曲线</w:t>
      </w:r>
    </w:p>
    <w:p>
      <w:r>
        <w:t>该曲线的趋势是政府投资和货币政策带来的名义价格社会需求越大，货币供应量增长率越高，通货膨胀率越高。通货膨胀率存在一个阈值b，当通货膨胀率小于阈值b时，政府投资和货币政策带来的社会需求增加将主要带来劳动力和资本积累利用率的增加，带来不变价格社会产出增加。当通货膨胀率大于阈值b时，劳动力和社会资本积累已被比较充分利用，政府投资和货币政策带来的名义价格社会需求增加将主要不再增加劳动力和资本积累的利用率，而是主要带来通货膨胀。通货膨胀带来经济不稳定，通货膨胀率越高，经济越不稳定。</w:t>
      </w:r>
    </w:p>
    <w:p>
      <w:r>
        <w:t>通货膨胀率阈值对应的货币供应量增长率为c值，c为触发通货膨胀的货币供应量增长率临界点。</w:t>
      </w:r>
    </w:p>
    <w:p>
      <w:pPr>
        <w:pStyle w:val="31"/>
        <w:numPr>
          <w:ilvl w:val="0"/>
          <w:numId w:val="4"/>
        </w:numPr>
        <w:ind w:left="0" w:leftChars="0" w:firstLine="420" w:firstLineChars="200"/>
      </w:pPr>
      <w:r>
        <w:t>单位时间名义价格社会产出与货币供应量增长率曲线</w:t>
      </w:r>
    </w:p>
    <w:p>
      <w:r>
        <w:t>该曲线的趋势是政府投资和货币政策带来的名义价格社会需求越大，名义价格社会产出越大。当政府投资和货币政策带来的货币供应量增长率高于c值时，名义价格社会产出将含通货膨胀虚增部分，货币供应量增长率越高，通货膨胀率越高，虚增部分越大。</w:t>
      </w:r>
    </w:p>
    <w:p>
      <w:r>
        <w:t>b值可作为政府控制通货膨胀的政策目标，保证政府投资和货币政策带来的名义价格社会需求增加引发的通货膨胀率不超过b值。</w:t>
      </w:r>
    </w:p>
    <w:p>
      <w:pPr>
        <w:pStyle w:val="4"/>
        <w:ind w:left="420" w:leftChars="200" w:firstLine="0" w:firstLineChars="0"/>
      </w:pPr>
      <w:r>
        <w:rPr>
          <w:rFonts w:hint="eastAsia"/>
        </w:rPr>
        <w:t>（</w:t>
      </w:r>
      <w:r>
        <w:rPr>
          <w:rFonts w:hint="eastAsia"/>
          <w:lang w:val="en-US" w:eastAsia="zh-CN"/>
        </w:rPr>
        <w:t>六</w:t>
      </w:r>
      <w:r>
        <w:rPr>
          <w:rFonts w:hint="eastAsia"/>
        </w:rPr>
        <w:t>）社会需求（</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rFonts w:hint="eastAsia"/>
        </w:rPr>
        <w:t>）的优化</w:t>
      </w:r>
    </w:p>
    <w:p>
      <w:r>
        <w:rPr>
          <w:rFonts w:hint="eastAsia"/>
        </w:rPr>
        <w:t>虽然图4-2三条经济变量关系曲线的自变量为货币供应量增长率，实际上决定货币供应量增长率的是政府政策影响的社会需求（</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rFonts w:hint="eastAsia"/>
        </w:rPr>
        <w:t>），但社会需求不是单一变量而是多变量，这就产生了社会需求</w:t>
      </w:r>
      <w:r>
        <w:t>的</w:t>
      </w:r>
      <w:r>
        <w:rPr>
          <w:rFonts w:hint="eastAsia"/>
        </w:rPr>
        <w:t>优化问题。</w:t>
      </w:r>
    </w:p>
    <w:p>
      <w:r>
        <w:t>关于</w:t>
      </w:r>
      <w:r>
        <w:rPr>
          <w:rFonts w:hint="eastAsia"/>
        </w:rPr>
        <w:t>私人部门投资和消费（</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rFonts w:hint="eastAsia"/>
        </w:rPr>
        <w:t>）与政府投资和支出（</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rFonts w:hint="eastAsia"/>
        </w:rPr>
        <w:t>）之间的优化</w:t>
      </w:r>
      <w:r>
        <w:t>，</w:t>
      </w:r>
      <w:r>
        <w:rPr>
          <w:rFonts w:hint="eastAsia"/>
        </w:rPr>
        <w:t>这通过政府货币政策（利率</w:t>
      </w:r>
      <w:r>
        <w:rPr>
          <w:rFonts w:hint="eastAsia" w:ascii="微软雅黑" w:hAnsi="微软雅黑" w:eastAsia="微软雅黑" w:cs="微软雅黑"/>
        </w:rPr>
        <w:t>、</w:t>
      </w:r>
      <w:r>
        <w:rPr>
          <w:rFonts w:hint="eastAsia"/>
        </w:rPr>
        <w:t>贷款资格审查和贷款规模控制）来完成。当通货膨胀率高于政策目标b值时，政府除了直接减少投资和支出（</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rFonts w:hint="eastAsia"/>
        </w:rPr>
        <w:t>）还可以通过货币政策提高利率抑制私人部门需求以使通货膨胀率回到政策目标b值以下。当通货膨胀率低于政策目标b值时，政府除直接增加投资和支出外还可以通过货币政策降低利率刺激私人部门需求以</w:t>
      </w:r>
      <w:r>
        <w:t>改善民众生活</w:t>
      </w:r>
      <w:r>
        <w:rPr>
          <w:rFonts w:hint="eastAsia" w:ascii="微软雅黑" w:hAnsi="微软雅黑" w:eastAsia="微软雅黑" w:cs="微软雅黑"/>
        </w:rPr>
        <w:t>、</w:t>
      </w:r>
      <w:r>
        <w:rPr>
          <w:rFonts w:hint="eastAsia"/>
        </w:rPr>
        <w:t>提高经济体禀赋，但保证通货膨胀率不突破政策目标b值上限。当货币政策利率接近零而通货膨胀率仍在政策目标b值以下时，政府</w:t>
      </w:r>
      <w:r>
        <w:t>可以仅</w:t>
      </w:r>
      <w:r>
        <w:rPr>
          <w:rFonts w:hint="eastAsia"/>
        </w:rPr>
        <w:t>靠增加政府投资和支出增加社会需求以</w:t>
      </w:r>
      <w:r>
        <w:t>改善民众生活</w:t>
      </w:r>
      <w:r>
        <w:rPr>
          <w:rFonts w:hint="eastAsia" w:ascii="微软雅黑" w:hAnsi="微软雅黑" w:eastAsia="微软雅黑" w:cs="微软雅黑"/>
        </w:rPr>
        <w:t>、</w:t>
      </w:r>
      <w:r>
        <w:rPr>
          <w:rFonts w:hint="eastAsia"/>
        </w:rPr>
        <w:t>提高经济体禀赋。</w:t>
      </w:r>
    </w:p>
    <w:p>
      <w:r>
        <w:t>关于</w:t>
      </w:r>
      <w:r>
        <w:rPr>
          <w:rFonts w:hint="eastAsia"/>
        </w:rPr>
        <w:t>政府投资和支出（</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rFonts w:hint="eastAsia"/>
        </w:rPr>
        <w:t>）具体项目之间的优化</w:t>
      </w:r>
      <w:r>
        <w:t>，本文主张政府依自身的价值主张对投资和支出项目综合排序。</w:t>
      </w:r>
      <w:r>
        <w:rPr>
          <w:rFonts w:hint="eastAsia"/>
          <w:lang w:bidi="ar"/>
        </w:rPr>
        <w:t>萨缪尔</w:t>
      </w:r>
      <w:r>
        <w:rPr>
          <w:lang w:bidi="ar"/>
        </w:rPr>
        <w:t>森</w:t>
      </w:r>
      <w:r>
        <w:rPr>
          <w:rFonts w:hint="eastAsia"/>
          <w:lang w:bidi="ar"/>
        </w:rPr>
        <w:t>（2010）认为</w:t>
      </w:r>
      <w:r>
        <w:rPr>
          <w:lang w:bidi="ar"/>
        </w:rPr>
        <w:t>消费品</w:t>
      </w:r>
      <w:r>
        <w:rPr>
          <w:rFonts w:hint="eastAsia"/>
          <w:lang w:bidi="ar"/>
        </w:rPr>
        <w:t>效用是一种满意度，反映消费者对商品和服务的排序。借鉴萨缪尔</w:t>
      </w:r>
      <w:r>
        <w:rPr>
          <w:lang w:bidi="ar"/>
        </w:rPr>
        <w:t>森</w:t>
      </w:r>
      <w:r>
        <w:rPr>
          <w:rFonts w:hint="eastAsia"/>
          <w:lang w:bidi="ar"/>
        </w:rPr>
        <w:t>关于</w:t>
      </w:r>
      <w:r>
        <w:rPr>
          <w:lang w:bidi="ar"/>
        </w:rPr>
        <w:t>消费品</w:t>
      </w:r>
      <w:r>
        <w:rPr>
          <w:rFonts w:hint="eastAsia"/>
          <w:lang w:bidi="ar"/>
        </w:rPr>
        <w:t>效用的定义，本文认为政府对其</w:t>
      </w:r>
      <w:r>
        <w:rPr>
          <w:rFonts w:hint="eastAsia"/>
        </w:rPr>
        <w:t>投资和支出</w:t>
      </w:r>
      <w:r>
        <w:t>的具体项目的排序应该体现</w:t>
      </w:r>
      <w:r>
        <w:rPr>
          <w:rFonts w:hint="eastAsia"/>
        </w:rPr>
        <w:t>自身的价值主张，</w:t>
      </w:r>
      <w:r>
        <w:t>如果政府更</w:t>
      </w:r>
      <w:r>
        <w:rPr>
          <w:rFonts w:hint="eastAsia"/>
        </w:rPr>
        <w:t>侧重</w:t>
      </w:r>
      <w:r>
        <w:t>照顾落后地区和低收入人群</w:t>
      </w:r>
      <w:r>
        <w:rPr>
          <w:rFonts w:hint="eastAsia"/>
        </w:rPr>
        <w:t>时就</w:t>
      </w:r>
      <w:r>
        <w:t>可以</w:t>
      </w:r>
      <w:r>
        <w:rPr>
          <w:rFonts w:hint="eastAsia"/>
        </w:rPr>
        <w:t>把</w:t>
      </w:r>
      <w:r>
        <w:t>支持落后地区和低收入人群的项目放在</w:t>
      </w:r>
      <w:r>
        <w:rPr>
          <w:rFonts w:hint="eastAsia"/>
        </w:rPr>
        <w:t>优先位置</w:t>
      </w:r>
      <w:r>
        <w:t>。</w:t>
      </w:r>
    </w:p>
    <w:p>
      <w:pPr>
        <w:pStyle w:val="4"/>
        <w:ind w:firstLine="420"/>
      </w:pPr>
      <w:r>
        <w:rPr>
          <w:rFonts w:hint="eastAsia"/>
        </w:rPr>
        <w:t>总之，</w:t>
      </w:r>
      <w:r>
        <w:t>私人部门投资和消费</w:t>
      </w:r>
      <w:r>
        <w:rPr>
          <w:rFonts w:hint="eastAsia" w:ascii="微软雅黑" w:hAnsi="微软雅黑" w:eastAsia="微软雅黑" w:cs="微软雅黑"/>
        </w:rPr>
        <w:t>、</w:t>
      </w:r>
      <w:r>
        <w:rPr>
          <w:rFonts w:hint="eastAsia"/>
        </w:rPr>
        <w:t>政府投资及支出</w:t>
      </w:r>
      <w:r>
        <w:t>之间</w:t>
      </w:r>
      <w:r>
        <w:rPr>
          <w:rFonts w:hint="eastAsia"/>
        </w:rPr>
        <w:t>的优化</w:t>
      </w:r>
      <w:r>
        <w:t>问题</w:t>
      </w:r>
      <w:r>
        <w:rPr>
          <w:rFonts w:hint="eastAsia"/>
        </w:rPr>
        <w:t>是一个</w:t>
      </w:r>
      <w:r>
        <w:t>带一定主观色彩很复杂很综合的问题</w:t>
      </w:r>
      <w:r>
        <w:rPr>
          <w:rFonts w:hint="eastAsia"/>
        </w:rPr>
        <w:t>，不存在客观的唯一解。</w:t>
      </w:r>
      <w:r>
        <w:t>借鉴弗里德曼对演绎经济学与实证经济学的态度，</w:t>
      </w:r>
      <w:r>
        <w:rPr>
          <w:rFonts w:hint="eastAsia"/>
        </w:rPr>
        <w:t>本文主张</w:t>
      </w:r>
      <w:r>
        <w:t>用主观和直觉确定这一优化问题，具体包括如下三点：第一，综合评估政府投资和支出项目的经济效益与社会效率，效率与公平兼顾；第二，能直接实现盈利的项目由私人部门投资，让市场竞争选出最优秀的经营主体；第三，私人部门投资和政府投资不一定有明确的界限，应保证各种体制经济主体公平竞争。</w:t>
      </w:r>
    </w:p>
    <w:p>
      <w:pPr>
        <w:pStyle w:val="4"/>
        <w:ind w:firstLine="420"/>
      </w:pPr>
      <w:r>
        <w:t>（</w:t>
      </w:r>
      <w:r>
        <w:rPr>
          <w:rFonts w:hint="eastAsia"/>
          <w:lang w:val="en-US" w:eastAsia="zh-CN"/>
        </w:rPr>
        <w:t>七</w:t>
      </w:r>
      <w:r>
        <w:t>）封闭模型放松为含国际贸易但管理私人资本跨境流动</w:t>
      </w:r>
    </w:p>
    <w:p>
      <w:r>
        <w:t>1. 模型描述</w:t>
      </w:r>
    </w:p>
    <w:p>
      <w:r>
        <w:t>这里把前文封闭模型放松为含以国家为主体的与其它经济体的国际贸易，但同时增加政府管理私人部门资本跨境流动、对外投资和融资。</w:t>
      </w:r>
    </w:p>
    <w:p>
      <w:r>
        <w:t>本文定义国与国之间的自由国际贸易指没有任何第三方强制和限制，双方完全自愿的国与国之间的贸易。国与国之间的贸易协议不是强制或限制，是自愿。本文的自由国际贸易满足本文第三节基本规律假设一“在没有任何第三方强制或限制的自由市场经济体系里，被交换次数为有限的非投资品商品交换存在使交易主体资产效用增加的帕累托优化竞争性均衡。”的条件，因此上述自由国际贸易存在帕累托优化竞争性均衡。</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Para>
              <m:oMath>
                <m:r>
                  <m:rPr>
                    <m:sty m:val="p"/>
                  </m:rPr>
                  <w:rPr>
                    <w:rFonts w:ascii="Cambria Math" w:hAnsi="Cambria Math"/>
                    <w:szCs w:val="21"/>
                  </w:rPr>
                  <m:t>Γ=</m:t>
                </m:r>
                <m:d>
                  <m:dPr>
                    <m:begChr m:val="⟦"/>
                    <m:endChr m:val="⟧"/>
                    <m:ctrlPr>
                      <w:rPr>
                        <w:rFonts w:ascii="Cambria Math" w:hAnsi="Cambria Math"/>
                        <w:szCs w:val="21"/>
                      </w:rPr>
                    </m:ctrlPr>
                  </m:dPr>
                  <m:e>
                    <m:r>
                      <m:rPr>
                        <m:sty m:val="p"/>
                      </m:rPr>
                      <w:rPr>
                        <w:rFonts w:ascii="Cambria Math" w:hAnsi="Cambria Math"/>
                        <w:szCs w:val="21"/>
                      </w:rPr>
                      <m:t>Ν，</m:t>
                    </m:r>
                    <m:sSub>
                      <m:sSubPr>
                        <m:ctrlPr>
                          <w:rPr>
                            <w:rFonts w:ascii="Cambria Math" w:hAnsi="Cambria Math"/>
                            <w:szCs w:val="21"/>
                          </w:rPr>
                        </m:ctrlPr>
                      </m:sSubPr>
                      <m:e>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Χ</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ctrlPr>
                              <w:rPr>
                                <w:rFonts w:ascii="Cambria Math" w:hAnsi="Cambria Math"/>
                                <w:szCs w:val="21"/>
                              </w:rPr>
                            </m:ctrlPr>
                          </m:e>
                        </m:d>
                        <m:ctrlPr>
                          <w:rPr>
                            <w:rFonts w:ascii="Cambria Math" w:hAnsi="Cambria Math"/>
                            <w:szCs w:val="21"/>
                          </w:rPr>
                        </m:ctrlPr>
                      </m:e>
                      <m:sub>
                        <m:r>
                          <m:rPr>
                            <m:sty m:val="p"/>
                          </m:rPr>
                          <w:rPr>
                            <w:rFonts w:ascii="Cambria Math" w:hAnsi="Cambria Math"/>
                            <w:szCs w:val="21"/>
                          </w:rPr>
                          <m:t>i∈N</m:t>
                        </m:r>
                        <m:ctrlPr>
                          <w:rPr>
                            <w:rFonts w:ascii="Cambria Math" w:hAnsi="Cambria Math"/>
                            <w:szCs w:val="21"/>
                          </w:rPr>
                        </m:ctrlPr>
                      </m:sub>
                    </m:sSub>
                    <m:sSub>
                      <m:sSubPr>
                        <m:ctrlPr>
                          <w:rPr>
                            <w:rFonts w:ascii="Cambria Math" w:hAnsi="Cambria Math"/>
                            <w:szCs w:val="21"/>
                          </w:rPr>
                        </m:ctrlPr>
                      </m:sSubPr>
                      <m:e>
                        <m:r>
                          <m:rPr>
                            <m:sty m:val="p"/>
                          </m:rPr>
                          <w:rPr>
                            <w:rFonts w:ascii="Cambria Math" w:hAnsi="Cambria Math"/>
                            <w:szCs w:val="21"/>
                          </w:rPr>
                          <m:t>，</m:t>
                        </m:r>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f</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d>
                              <m:dPr>
                                <m:ctrlPr>
                                  <w:rPr>
                                    <w:rFonts w:ascii="Cambria Math" w:hAnsi="Cambria Math"/>
                                    <w:szCs w:val="21"/>
                                  </w:rPr>
                                </m:ctrlPr>
                              </m:dPr>
                              <m:e>
                                <m:r>
                                  <m:rPr>
                                    <m:sty m:val="p"/>
                                  </m:rPr>
                                  <w:rPr>
                                    <w:rFonts w:ascii="Cambria Math" w:hAnsi="Cambria Math"/>
                                    <w:szCs w:val="21"/>
                                  </w:rPr>
                                  <m:t>x</m:t>
                                </m:r>
                                <m:ctrlPr>
                                  <w:rPr>
                                    <w:rFonts w:ascii="Cambria Math" w:hAnsi="Cambria Math"/>
                                    <w:szCs w:val="21"/>
                                  </w:rPr>
                                </m:ctrlPr>
                              </m:e>
                            </m:d>
                            <m:ctrlPr>
                              <w:rPr>
                                <w:rFonts w:ascii="Cambria Math" w:hAnsi="Cambria Math"/>
                                <w:szCs w:val="21"/>
                              </w:rPr>
                            </m:ctrlPr>
                          </m:e>
                        </m:d>
                        <m:ctrlPr>
                          <w:rPr>
                            <w:rFonts w:ascii="Cambria Math" w:hAnsi="Cambria Math"/>
                            <w:szCs w:val="21"/>
                          </w:rPr>
                        </m:ctrlPr>
                      </m:e>
                      <m:sub>
                        <m:r>
                          <m:rPr>
                            <m:sty m:val="p"/>
                          </m:rPr>
                          <w:rPr>
                            <w:rFonts w:ascii="Cambria Math" w:hAnsi="Cambria Math"/>
                            <w:szCs w:val="21"/>
                          </w:rPr>
                          <m:t>i∈N</m:t>
                        </m:r>
                        <m:ctrlPr>
                          <w:rPr>
                            <w:rFonts w:ascii="Cambria Math" w:hAnsi="Cambria Math"/>
                            <w:szCs w:val="21"/>
                          </w:rPr>
                        </m:ctrlPr>
                      </m:sub>
                    </m:sSub>
                    <m:ctrlPr>
                      <w:rPr>
                        <w:rFonts w:ascii="Cambria Math" w:hAnsi="Cambria Math"/>
                        <w:szCs w:val="21"/>
                      </w:rPr>
                    </m:ctrlPr>
                  </m:e>
                </m:d>
              </m:oMath>
            </m:oMathPara>
          </w:p>
        </w:tc>
        <w:tc>
          <w:tcPr>
            <w:tcW w:w="930" w:type="dxa"/>
            <w:vAlign w:val="center"/>
          </w:tcPr>
          <w:p>
            <w:pPr>
              <w:ind w:firstLine="0" w:firstLineChars="0"/>
              <w:jc w:val="right"/>
            </w:pPr>
            <w:r>
              <w:t>(4-18)</w:t>
            </w:r>
          </w:p>
        </w:tc>
      </w:tr>
    </w:tbl>
    <w:p>
      <w:pPr>
        <w:widowControl/>
        <w:jc w:val="left"/>
        <w:rPr>
          <w:szCs w:val="21"/>
        </w:rPr>
      </w:pPr>
      <w:r>
        <w:rPr>
          <w:szCs w:val="21"/>
        </w:rPr>
        <w:t>式中</w:t>
      </w:r>
      <m:oMath>
        <m:r>
          <m:rPr>
            <m:sty m:val="p"/>
          </m:rPr>
          <w:rPr>
            <w:rFonts w:ascii="Cambria Math" w:hAnsi="Cambria Math"/>
            <w:szCs w:val="21"/>
          </w:rPr>
          <m:t>N</m:t>
        </m:r>
      </m:oMath>
      <w:r>
        <w:rPr>
          <w:szCs w:val="21"/>
        </w:rPr>
        <w:t>=</w:t>
      </w:r>
      <m:oMath>
        <m:d>
          <m:dPr>
            <m:begChr m:val="{"/>
            <m:endChr m:val="}"/>
            <m:ctrlPr>
              <w:rPr>
                <w:rFonts w:ascii="Cambria Math" w:hAnsi="Cambria Math"/>
                <w:i/>
                <w:szCs w:val="21"/>
              </w:rPr>
            </m:ctrlPr>
          </m:dPr>
          <m:e>
            <m:r>
              <m:rPr/>
              <w:rPr>
                <w:rFonts w:ascii="Cambria Math" w:hAnsi="Cambria Math"/>
                <w:szCs w:val="21"/>
              </w:rPr>
              <m:t>1,...,N</m:t>
            </m:r>
            <m:ctrlPr>
              <w:rPr>
                <w:rFonts w:ascii="Cambria Math" w:hAnsi="Cambria Math"/>
                <w:i/>
                <w:szCs w:val="21"/>
              </w:rPr>
            </m:ctrlPr>
          </m:e>
        </m:d>
      </m:oMath>
      <w:r>
        <w:rPr>
          <w:szCs w:val="21"/>
        </w:rPr>
        <w:t>为参与国际贸易的国家主体数，</w:t>
      </w:r>
      <m:oMath>
        <m:r>
          <m:rPr>
            <m:sty m:val="p"/>
          </m:rPr>
          <w:rPr>
            <w:rFonts w:ascii="Cambria Math" w:hAnsi="Cambria Math"/>
            <w:szCs w:val="21"/>
          </w:rPr>
          <m:t>N</m:t>
        </m:r>
      </m:oMath>
      <w:r>
        <w:rPr>
          <w:szCs w:val="21"/>
        </w:rPr>
        <w:t>为有限值；i为国家主体的序号；</w:t>
      </w:r>
      <m:oMath>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r>
          <m:rPr>
            <m:sty m:val="p"/>
          </m:rPr>
          <w:rPr>
            <w:rFonts w:ascii="Cambria Math" w:hAnsi="Cambria Math"/>
            <w:szCs w:val="21"/>
          </w:rPr>
          <m:t>∈</m:t>
        </m:r>
        <m:sSup>
          <m:sSupPr>
            <m:ctrlPr>
              <w:rPr>
                <w:rFonts w:ascii="Cambria Math" w:hAnsi="Cambria Math"/>
                <w:szCs w:val="21"/>
              </w:rPr>
            </m:ctrlPr>
          </m:sSupPr>
          <m:e>
            <m:r>
              <m:rPr>
                <m:sty m:val="p"/>
              </m:rPr>
              <w:rPr>
                <w:rFonts w:ascii="Cambria Math" w:hAnsi="Cambria Math"/>
                <w:szCs w:val="21"/>
              </w:rPr>
              <m:t>R</m:t>
            </m:r>
            <m:ctrlPr>
              <w:rPr>
                <w:rFonts w:ascii="Cambria Math" w:hAnsi="Cambria Math"/>
                <w:szCs w:val="21"/>
              </w:rPr>
            </m:ctrlPr>
          </m:e>
          <m:sup>
            <m:r>
              <m:rPr>
                <m:sty m:val="p"/>
              </m:rPr>
              <w:rPr>
                <w:rFonts w:ascii="Cambria Math" w:hAnsi="Cambria Math"/>
                <w:szCs w:val="21"/>
              </w:rPr>
              <m:t>ni</m:t>
            </m:r>
            <m:ctrlPr>
              <w:rPr>
                <w:rFonts w:ascii="Cambria Math" w:hAnsi="Cambria Math"/>
                <w:szCs w:val="21"/>
              </w:rPr>
            </m:ctrlPr>
          </m:sup>
        </m:sSup>
      </m:oMath>
      <w:r>
        <w:rPr>
          <w:szCs w:val="21"/>
        </w:rPr>
        <w:t>为第</w:t>
      </w:r>
      <m:oMath>
        <m:r>
          <m:rPr>
            <m:sty m:val="p"/>
          </m:rPr>
          <w:rPr>
            <w:rFonts w:ascii="Cambria Math" w:hAnsi="Cambria Math"/>
            <w:szCs w:val="21"/>
          </w:rPr>
          <m:t>i</m:t>
        </m:r>
      </m:oMath>
      <w:r>
        <w:rPr>
          <w:szCs w:val="21"/>
        </w:rPr>
        <w:t>个国家主体与其它国家主体的国际贸易集合；</w:t>
      </w:r>
      <m:oMath>
        <m:r>
          <m:rPr>
            <m:sty m:val="p"/>
          </m:rPr>
          <w:rPr>
            <w:rFonts w:ascii="Cambria Math" w:hAnsi="Cambria Math"/>
            <w:szCs w:val="21"/>
          </w:rPr>
          <m:t>x=(</m:t>
        </m:r>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1</m:t>
            </m:r>
            <m:ctrlPr>
              <w:rPr>
                <w:rFonts w:ascii="Cambria Math" w:hAnsi="Cambria Math"/>
                <w:szCs w:val="21"/>
              </w:rPr>
            </m:ctrlP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N</m:t>
            </m:r>
            <m:ctrlPr>
              <w:rPr>
                <w:rFonts w:ascii="Cambria Math" w:hAnsi="Cambria Math"/>
                <w:szCs w:val="21"/>
              </w:rPr>
            </m:ctrlPr>
          </m:sub>
        </m:sSub>
        <m:r>
          <m:rPr>
            <m:sty m:val="p"/>
          </m:rPr>
          <w:rPr>
            <w:rFonts w:ascii="Cambria Math" w:hAnsi="Cambria Math"/>
            <w:szCs w:val="21"/>
          </w:rPr>
          <m:t>)∈X=</m:t>
        </m:r>
        <m:nary>
          <m:naryPr>
            <m:chr m:val="∏"/>
            <m:limLoc m:val="undOvr"/>
            <m:supHide m:val="1"/>
            <m:ctrlPr>
              <w:rPr>
                <w:rFonts w:ascii="Cambria Math" w:hAnsi="Cambria Math"/>
                <w:szCs w:val="21"/>
              </w:rPr>
            </m:ctrlPr>
          </m:naryPr>
          <m:sub>
            <m:r>
              <m:rPr>
                <m:sty m:val="p"/>
              </m:rPr>
              <w:rPr>
                <w:rFonts w:ascii="Cambria Math" w:hAnsi="Cambria Math"/>
                <w:szCs w:val="21"/>
              </w:rPr>
              <m:t>i∈N</m:t>
            </m:r>
            <m:ctrlPr>
              <w:rPr>
                <w:rFonts w:ascii="Cambria Math" w:hAnsi="Cambria Math"/>
                <w:szCs w:val="21"/>
              </w:rPr>
            </m:ctrlPr>
          </m:sub>
          <m:sup>
            <m:ctrlPr>
              <w:rPr>
                <w:rFonts w:ascii="Cambria Math" w:hAnsi="Cambria Math"/>
                <w:szCs w:val="21"/>
              </w:rPr>
            </m:ctrlPr>
          </m:sup>
          <m:e>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ctrlPr>
              <w:rPr>
                <w:rFonts w:ascii="Cambria Math" w:hAnsi="Cambria Math"/>
                <w:szCs w:val="21"/>
              </w:rPr>
            </m:ctrlPr>
          </m:e>
        </m:nary>
        <m:r>
          <m:rPr>
            <m:sty m:val="p"/>
          </m:rPr>
          <w:rPr>
            <w:rFonts w:ascii="Cambria Math" w:hAnsi="Cambria Math"/>
            <w:szCs w:val="21"/>
          </w:rPr>
          <m:t>∈</m:t>
        </m:r>
        <m:sSup>
          <m:sSupPr>
            <m:ctrlPr>
              <w:rPr>
                <w:rFonts w:ascii="Cambria Math" w:hAnsi="Cambria Math"/>
                <w:szCs w:val="21"/>
              </w:rPr>
            </m:ctrlPr>
          </m:sSupPr>
          <m:e>
            <m:r>
              <m:rPr>
                <m:sty m:val="p"/>
              </m:rPr>
              <w:rPr>
                <w:rFonts w:ascii="Cambria Math" w:hAnsi="Cambria Math"/>
                <w:szCs w:val="21"/>
              </w:rPr>
              <m:t>R</m:t>
            </m:r>
            <m:ctrlPr>
              <w:rPr>
                <w:rFonts w:ascii="Cambria Math" w:hAnsi="Cambria Math"/>
                <w:szCs w:val="21"/>
              </w:rPr>
            </m:ctrlPr>
          </m:e>
          <m:sup>
            <m:r>
              <m:rPr>
                <m:sty m:val="p"/>
              </m:rPr>
              <w:rPr>
                <w:rFonts w:ascii="Cambria Math" w:hAnsi="Cambria Math"/>
                <w:szCs w:val="21"/>
              </w:rPr>
              <m:t>N</m:t>
            </m:r>
            <m:ctrlPr>
              <w:rPr>
                <w:rFonts w:ascii="Cambria Math" w:hAnsi="Cambria Math"/>
                <w:szCs w:val="21"/>
              </w:rPr>
            </m:ctrlPr>
          </m:sup>
        </m:sSup>
        <m:d>
          <m:dPr>
            <m:ctrlPr>
              <w:rPr>
                <w:rFonts w:ascii="Cambria Math" w:hAnsi="Cambria Math"/>
                <w:szCs w:val="21"/>
              </w:rPr>
            </m:ctrlPr>
          </m:dPr>
          <m:e>
            <m:r>
              <m:rPr>
                <m:sty m:val="p"/>
              </m:rPr>
              <w:rPr>
                <w:rFonts w:ascii="Cambria Math" w:hAnsi="Cambria Math"/>
                <w:szCs w:val="21"/>
              </w:rPr>
              <m:t>n=</m:t>
            </m:r>
            <m:nary>
              <m:naryPr>
                <m:chr m:val="∑"/>
                <m:limLoc m:val="undOvr"/>
                <m:supHide m:val="1"/>
                <m:ctrlPr>
                  <w:rPr>
                    <w:rFonts w:ascii="Cambria Math" w:hAnsi="Cambria Math"/>
                    <w:szCs w:val="21"/>
                  </w:rPr>
                </m:ctrlPr>
              </m:naryPr>
              <m:sub>
                <m:r>
                  <m:rPr>
                    <m:sty m:val="p"/>
                  </m:rPr>
                  <w:rPr>
                    <w:rFonts w:ascii="Cambria Math" w:hAnsi="Cambria Math"/>
                    <w:szCs w:val="21"/>
                  </w:rPr>
                  <m:t>i∈N</m:t>
                </m:r>
                <m:ctrlPr>
                  <w:rPr>
                    <w:rFonts w:ascii="Cambria Math" w:hAnsi="Cambria Math"/>
                    <w:szCs w:val="21"/>
                  </w:rPr>
                </m:ctrlPr>
              </m:sub>
              <m:sup>
                <m:ctrlPr>
                  <w:rPr>
                    <w:rFonts w:ascii="Cambria Math" w:hAnsi="Cambria Math"/>
                    <w:szCs w:val="21"/>
                  </w:rPr>
                </m:ctrlPr>
              </m:sup>
              <m:e>
                <m:sSub>
                  <m:sSubPr>
                    <m:ctrlPr>
                      <w:rPr>
                        <w:rFonts w:ascii="Cambria Math" w:hAnsi="Cambria Math"/>
                        <w:szCs w:val="21"/>
                      </w:rPr>
                    </m:ctrlPr>
                  </m:sSubPr>
                  <m:e>
                    <m:r>
                      <m:rPr>
                        <m:sty m:val="p"/>
                      </m:rPr>
                      <w:rPr>
                        <w:rFonts w:ascii="Cambria Math" w:hAnsi="Cambria Math"/>
                        <w:szCs w:val="21"/>
                      </w:rPr>
                      <m:t>n</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ctrlPr>
                  <w:rPr>
                    <w:rFonts w:ascii="Cambria Math" w:hAnsi="Cambria Math"/>
                    <w:szCs w:val="21"/>
                  </w:rPr>
                </m:ctrlPr>
              </m:e>
            </m:nary>
            <m:ctrlPr>
              <w:rPr>
                <w:rFonts w:ascii="Cambria Math" w:hAnsi="Cambria Math"/>
                <w:szCs w:val="21"/>
              </w:rPr>
            </m:ctrlPr>
          </m:e>
        </m:d>
      </m:oMath>
      <w:r>
        <w:rPr>
          <w:szCs w:val="21"/>
        </w:rPr>
        <w:t>，每个</w:t>
      </w:r>
      <m:oMath>
        <m:r>
          <m:rPr>
            <m:sty m:val="p"/>
          </m:rPr>
          <w:rPr>
            <w:rFonts w:ascii="Cambria Math" w:hAnsi="Cambria Math"/>
            <w:szCs w:val="21"/>
          </w:rPr>
          <m:t>i∈N</m:t>
        </m:r>
      </m:oMath>
      <w:r>
        <w:rPr>
          <w:szCs w:val="21"/>
        </w:rPr>
        <w:t>.为所有国家主体与其它国家主体国际贸易的集合；</w:t>
      </w:r>
      <m:oMath>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oMath>
      <w:r>
        <w:rPr>
          <w:szCs w:val="21"/>
        </w:rPr>
        <w:t>(x)为第i个国家主体与其它国际主体商品交换后获得效用增加，</w:t>
      </w:r>
      <m:oMath>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oMath>
      <w:r>
        <w:rPr>
          <w:szCs w:val="21"/>
        </w:rPr>
        <w:t>(x)&gt;0，任何</w:t>
      </w:r>
      <m:oMath>
        <m:r>
          <m:rPr>
            <m:sty m:val="p"/>
          </m:rPr>
          <w:rPr>
            <w:rFonts w:ascii="Cambria Math" w:hAnsi="Cambria Math"/>
            <w:szCs w:val="21"/>
          </w:rPr>
          <m:t>i</m:t>
        </m:r>
      </m:oMath>
      <w:r>
        <w:rPr>
          <w:szCs w:val="21"/>
        </w:rPr>
        <w:t>。</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nary>
                <m:naryPr>
                  <m:chr m:val="∑"/>
                  <m:limLoc m:val="undOvr"/>
                  <m:supHide m:val="1"/>
                  <m:ctrlPr>
                    <w:rPr>
                      <w:rFonts w:ascii="Cambria Math" w:hAnsi="Cambria Math"/>
                      <w:i/>
                      <w:szCs w:val="21"/>
                    </w:rPr>
                  </m:ctrlPr>
                </m:naryPr>
                <m:sub>
                  <m:r>
                    <m:rPr/>
                    <w:rPr>
                      <w:rFonts w:ascii="Cambria Math" w:hAnsi="Cambria Math"/>
                      <w:szCs w:val="21"/>
                    </w:rPr>
                    <m:t>i∈N</m:t>
                  </m:r>
                  <m:ctrlPr>
                    <w:rPr>
                      <w:rFonts w:ascii="Cambria Math" w:hAnsi="Cambria Math"/>
                      <w:i/>
                      <w:szCs w:val="21"/>
                    </w:rPr>
                  </m:ctrlPr>
                </m:sub>
                <m:sup>
                  <m:ctrlPr>
                    <w:rPr>
                      <w:rFonts w:ascii="Cambria Math" w:hAnsi="Cambria Math"/>
                      <w:i/>
                      <w:szCs w:val="21"/>
                    </w:rPr>
                  </m:ctrlPr>
                </m:sup>
                <m:e>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ctrlPr>
                    <w:rPr>
                      <w:rFonts w:ascii="Cambria Math" w:hAnsi="Cambria Math"/>
                      <w:i/>
                      <w:szCs w:val="21"/>
                    </w:rPr>
                  </m:ctrlPr>
                </m:e>
              </m:nary>
              <m:r>
                <m:rPr/>
                <w:rPr>
                  <w:rFonts w:ascii="Cambria Math" w:hAnsi="Cambria Math"/>
                  <w:szCs w:val="21"/>
                </w:rPr>
                <m:t>(</m:t>
              </m:r>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r>
                <m:rPr/>
                <w:rPr>
                  <w:rFonts w:ascii="Cambria Math" w:hAnsi="Cambria Math"/>
                  <w:szCs w:val="21"/>
                </w:rPr>
                <m:t>)≦</m:t>
              </m:r>
              <m:nary>
                <m:naryPr>
                  <m:chr m:val="∑"/>
                  <m:limLoc m:val="undOvr"/>
                  <m:supHide m:val="1"/>
                  <m:ctrlPr>
                    <w:rPr>
                      <w:rFonts w:ascii="Cambria Math" w:hAnsi="Cambria Math"/>
                      <w:i/>
                      <w:szCs w:val="21"/>
                    </w:rPr>
                  </m:ctrlPr>
                </m:naryPr>
                <m:sub>
                  <m:r>
                    <m:rPr/>
                    <w:rPr>
                      <w:rFonts w:ascii="Cambria Math" w:hAnsi="Cambria Math"/>
                      <w:szCs w:val="21"/>
                    </w:rPr>
                    <m:t>i∈N</m:t>
                  </m:r>
                  <m:ctrlPr>
                    <w:rPr>
                      <w:rFonts w:ascii="Cambria Math" w:hAnsi="Cambria Math"/>
                      <w:i/>
                      <w:szCs w:val="21"/>
                    </w:rPr>
                  </m:ctrlPr>
                </m:sub>
                <m:sup>
                  <m:ctrlPr>
                    <w:rPr>
                      <w:rFonts w:ascii="Cambria Math" w:hAnsi="Cambria Math"/>
                      <w:i/>
                      <w:szCs w:val="21"/>
                    </w:rPr>
                  </m:ctrlPr>
                </m:sup>
                <m:e>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ctrlPr>
                    <w:rPr>
                      <w:rFonts w:ascii="Cambria Math" w:hAnsi="Cambria Math"/>
                      <w:i/>
                      <w:szCs w:val="21"/>
                    </w:rPr>
                  </m:ctrlPr>
                </m:e>
              </m:nary>
            </m:oMath>
            <w:r>
              <w:rPr>
                <w:szCs w:val="21"/>
              </w:rPr>
              <w:t>(</w:t>
            </w:r>
            <m:oMath>
              <m:sSup>
                <m:sSupPr>
                  <m:ctrlPr>
                    <w:rPr>
                      <w:rFonts w:ascii="Cambria Math" w:hAnsi="Cambria Math"/>
                      <w:i/>
                      <w:szCs w:val="21"/>
                    </w:rPr>
                  </m:ctrlPr>
                </m:sSupPr>
                <m:e>
                  <m:r>
                    <m:rPr/>
                    <w:rPr>
                      <w:rFonts w:ascii="Cambria Math" w:hAnsi="Cambria Math"/>
                      <w:szCs w:val="21"/>
                    </w:rPr>
                    <m:t>X</m:t>
                  </m:r>
                  <m:ctrlPr>
                    <w:rPr>
                      <w:rFonts w:ascii="Cambria Math" w:hAnsi="Cambria Math"/>
                      <w:i/>
                      <w:szCs w:val="21"/>
                    </w:rPr>
                  </m:ctrlPr>
                </m:e>
                <m:sup>
                  <m:r>
                    <m:rPr/>
                    <w:rPr>
                      <w:rFonts w:ascii="Cambria Math" w:hAnsi="Cambria Math"/>
                      <w:szCs w:val="21"/>
                    </w:rPr>
                    <m:t>p</m:t>
                  </m:r>
                  <m:ctrlPr>
                    <w:rPr>
                      <w:rFonts w:ascii="Cambria Math" w:hAnsi="Cambria Math"/>
                      <w:i/>
                      <w:szCs w:val="21"/>
                    </w:rPr>
                  </m:ctrlPr>
                </m:sup>
              </m:sSup>
            </m:oMath>
            <w:r>
              <w:rPr>
                <w:szCs w:val="21"/>
              </w:rPr>
              <w:t>)</w:t>
            </w:r>
          </w:p>
        </w:tc>
        <w:tc>
          <w:tcPr>
            <w:tcW w:w="930" w:type="dxa"/>
            <w:vAlign w:val="center"/>
          </w:tcPr>
          <w:p>
            <w:pPr>
              <w:ind w:firstLine="0" w:firstLineChars="0"/>
              <w:jc w:val="right"/>
            </w:pPr>
            <w:r>
              <w:t>(4-</w:t>
            </w:r>
            <w:r>
              <w:rPr>
                <w:rFonts w:hint="eastAsia"/>
              </w:rPr>
              <w:t>19</w:t>
            </w:r>
            <w:r>
              <w:t>)</w:t>
            </w:r>
          </w:p>
        </w:tc>
      </w:tr>
    </w:tbl>
    <w:p>
      <w:pPr>
        <w:widowControl/>
        <w:jc w:val="left"/>
        <w:rPr>
          <w:szCs w:val="21"/>
        </w:rPr>
      </w:pPr>
      <m:oMath>
        <m:sSup>
          <m:sSupPr>
            <m:ctrlPr>
              <w:rPr>
                <w:rFonts w:ascii="Cambria Math" w:hAnsi="Cambria Math"/>
                <w:i/>
                <w:szCs w:val="21"/>
              </w:rPr>
            </m:ctrlPr>
          </m:sSupPr>
          <m:e>
            <m:r>
              <m:rPr/>
              <w:rPr>
                <w:rFonts w:ascii="Cambria Math" w:hAnsi="Cambria Math"/>
                <w:szCs w:val="21"/>
              </w:rPr>
              <m:t>X</m:t>
            </m:r>
            <m:ctrlPr>
              <w:rPr>
                <w:rFonts w:ascii="Cambria Math" w:hAnsi="Cambria Math"/>
                <w:i/>
                <w:szCs w:val="21"/>
              </w:rPr>
            </m:ctrlPr>
          </m:e>
          <m:sup>
            <m:r>
              <m:rPr/>
              <w:rPr>
                <w:rFonts w:ascii="Cambria Math" w:hAnsi="Cambria Math"/>
                <w:szCs w:val="21"/>
              </w:rPr>
              <m:t>p</m:t>
            </m:r>
            <m:ctrlPr>
              <w:rPr>
                <w:rFonts w:ascii="Cambria Math" w:hAnsi="Cambria Math"/>
                <w:i/>
                <w:szCs w:val="21"/>
              </w:rPr>
            </m:ctrlPr>
          </m:sup>
        </m:sSup>
        <m:r>
          <m:rPr/>
          <w:rPr>
            <w:rFonts w:ascii="Cambria Math" w:hAnsi="Cambria Math"/>
            <w:szCs w:val="21"/>
          </w:rPr>
          <m:t>=(</m:t>
        </m:r>
        <m:sSup>
          <m:sSupPr>
            <m:ctrlPr>
              <w:rPr>
                <w:rFonts w:ascii="Cambria Math" w:hAnsi="Cambria Math"/>
                <w:i/>
                <w:szCs w:val="21"/>
              </w:rPr>
            </m:ctrlPr>
          </m:sSupPr>
          <m:e>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ctrlPr>
              <w:rPr>
                <w:rFonts w:ascii="Cambria Math" w:hAnsi="Cambria Math"/>
                <w:i/>
                <w:szCs w:val="21"/>
              </w:rPr>
            </m:ctrlPr>
          </m:e>
          <m:sup>
            <m:r>
              <m:rPr/>
              <w:rPr>
                <w:rFonts w:ascii="Cambria Math" w:hAnsi="Cambria Math"/>
                <w:szCs w:val="21"/>
              </w:rPr>
              <m:t>p</m:t>
            </m:r>
            <m:ctrlPr>
              <w:rPr>
                <w:rFonts w:ascii="Cambria Math" w:hAnsi="Cambria Math"/>
                <w:i/>
                <w:szCs w:val="21"/>
              </w:rPr>
            </m:ctrlPr>
          </m:sup>
        </m:sSup>
        <m:r>
          <m:rPr/>
          <w:rPr>
            <w:rFonts w:ascii="Cambria Math" w:hAnsi="Cambria Math"/>
            <w:szCs w:val="21"/>
          </w:rPr>
          <m:t>,...,</m:t>
        </m:r>
        <m:sSup>
          <m:sSupPr>
            <m:ctrlPr>
              <w:rPr>
                <w:rFonts w:ascii="Cambria Math" w:hAnsi="Cambria Math"/>
                <w:i/>
                <w:szCs w:val="21"/>
              </w:rPr>
            </m:ctrlPr>
          </m:sSupPr>
          <m:e>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n</m:t>
                </m:r>
                <m:ctrlPr>
                  <w:rPr>
                    <w:rFonts w:ascii="Cambria Math" w:hAnsi="Cambria Math"/>
                    <w:i/>
                    <w:szCs w:val="21"/>
                  </w:rPr>
                </m:ctrlPr>
              </m:sub>
            </m:sSub>
            <m:ctrlPr>
              <w:rPr>
                <w:rFonts w:ascii="Cambria Math" w:hAnsi="Cambria Math"/>
                <w:i/>
                <w:szCs w:val="21"/>
              </w:rPr>
            </m:ctrlPr>
          </m:e>
          <m:sup>
            <m:r>
              <m:rPr/>
              <w:rPr>
                <w:rFonts w:ascii="Cambria Math" w:hAnsi="Cambria Math"/>
                <w:szCs w:val="21"/>
              </w:rPr>
              <m:t>p</m:t>
            </m:r>
            <m:ctrlPr>
              <w:rPr>
                <w:rFonts w:ascii="Cambria Math" w:hAnsi="Cambria Math"/>
                <w:i/>
                <w:szCs w:val="21"/>
              </w:rPr>
            </m:ctrlPr>
          </m:sup>
        </m:sSup>
        <m:r>
          <m:rPr/>
          <w:rPr>
            <w:rFonts w:ascii="Cambria Math" w:hAnsi="Cambria Math"/>
            <w:szCs w:val="21"/>
          </w:rPr>
          <m:t>)</m:t>
        </m:r>
        <m:r>
          <m:rPr>
            <m:sty m:val="p"/>
          </m:rPr>
          <w:rPr>
            <w:rFonts w:ascii="Cambria Math" w:hAnsi="Cambria Math"/>
            <w:szCs w:val="21"/>
          </w:rPr>
          <m:t>∈X</m:t>
        </m:r>
      </m:oMath>
      <w:r>
        <w:rPr>
          <w:szCs w:val="21"/>
        </w:rPr>
        <w:t xml:space="preserve"> 为帕累托优化竞争性均衡的国际贸易。</w:t>
      </w:r>
    </w:p>
    <w:p>
      <w:pPr>
        <w:rPr>
          <w:szCs w:val="21"/>
        </w:rPr>
      </w:pPr>
      <w:r>
        <w:rPr>
          <w:bCs/>
          <w:szCs w:val="21"/>
        </w:rPr>
        <w:t>即</w:t>
      </w:r>
      <w:r>
        <w:rPr>
          <w:szCs w:val="21"/>
        </w:rPr>
        <w:t>式（4-18）表述的以国家为经济主体的自由国际贸易存在式（4-19）表述的帕累托优化竞争性均衡。</w:t>
      </w:r>
    </w:p>
    <w:p>
      <w:pPr>
        <w:widowControl/>
        <w:jc w:val="left"/>
        <w:rPr>
          <w:szCs w:val="21"/>
        </w:rPr>
      </w:pPr>
      <w:r>
        <w:rPr>
          <w:szCs w:val="21"/>
        </w:rPr>
        <w:t>式（4-</w:t>
      </w:r>
      <w:r>
        <w:rPr>
          <w:rFonts w:hint="eastAsia"/>
          <w:szCs w:val="21"/>
        </w:rPr>
        <w:t>18</w:t>
      </w:r>
      <w:r>
        <w:rPr>
          <w:szCs w:val="21"/>
        </w:rPr>
        <w:t>）表述的是以国家为主体的国际贸易，但现实的国际贸易都在单个经济主体之间进行。本文提出政府通过制定汇率和关税等政策让境内各种微观经济主体利益与国家利益一致。</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r>
                <m:rPr>
                  <m:sty m:val="p"/>
                </m:rPr>
                <w:rPr>
                  <w:rFonts w:ascii="Cambria Math" w:hAnsi="Cambria Math" w:eastAsia="微软雅黑"/>
                  <w:szCs w:val="21"/>
                </w:rPr>
                <m:t>−</m:t>
              </m:r>
              <m:sSub>
                <m:sSubPr>
                  <m:ctrlPr>
                    <w:rPr>
                      <w:rFonts w:ascii="Cambria Math" w:hAnsi="Cambria Math"/>
                      <w:i/>
                      <w:szCs w:val="21"/>
                    </w:rPr>
                  </m:ctrlPr>
                </m:sSubPr>
                <m:e>
                  <m:r>
                    <m:rPr/>
                    <w:rPr>
                      <w:rFonts w:ascii="Cambria Math" w:hAnsi="Cambria Math"/>
                      <w:szCs w:val="21"/>
                    </w:rPr>
                    <m:t>T</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r>
                <m:rPr>
                  <m:sty m:val="p"/>
                </m:rPr>
                <w:rPr>
                  <w:rFonts w:ascii="Cambria Math" w:hAnsi="Cambria Math"/>
                  <w:szCs w:val="21"/>
                </w:rPr>
                <m:t>≦</m:t>
              </m:r>
            </m:oMath>
            <w:r>
              <w:rPr>
                <w:szCs w:val="21"/>
              </w:rPr>
              <w:t xml:space="preserve"> </w:t>
            </w:r>
            <m:oMath>
              <m:f>
                <m:fPr>
                  <m:type m:val="lin"/>
                  <m:ctrlPr>
                    <w:rPr>
                      <w:rFonts w:ascii="Cambria Math" w:hAnsi="Cambria Math"/>
                      <w:szCs w:val="21"/>
                    </w:rPr>
                  </m:ctrlPr>
                </m:fPr>
                <m:num>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if</m:t>
                      </m:r>
                      <m:ctrlPr>
                        <w:rPr>
                          <w:rFonts w:ascii="Cambria Math" w:hAnsi="Cambria Math"/>
                          <w:szCs w:val="21"/>
                        </w:rPr>
                      </m:ctrlPr>
                    </m:sub>
                  </m:sSub>
                  <m:ctrlPr>
                    <w:rPr>
                      <w:rFonts w:ascii="Cambria Math" w:hAnsi="Cambria Math"/>
                      <w:szCs w:val="21"/>
                    </w:rPr>
                  </m:ctrlPr>
                </m:num>
                <m:den>
                  <m:r>
                    <m:rPr>
                      <m:sty m:val="p"/>
                    </m:rPr>
                    <w:rPr>
                      <w:rFonts w:ascii="Cambria Math" w:hAnsi="Cambria Math"/>
                      <w:szCs w:val="21"/>
                    </w:rPr>
                    <m:t>E</m:t>
                  </m:r>
                  <m:ctrlPr>
                    <w:rPr>
                      <w:rFonts w:ascii="Cambria Math" w:hAnsi="Cambria Math"/>
                      <w:szCs w:val="21"/>
                    </w:rPr>
                  </m:ctrlPr>
                </m:den>
              </m:f>
            </m:oMath>
          </w:p>
        </w:tc>
        <w:tc>
          <w:tcPr>
            <w:tcW w:w="930" w:type="dxa"/>
            <w:vAlign w:val="center"/>
          </w:tcPr>
          <w:p>
            <w:pPr>
              <w:ind w:firstLine="0" w:firstLineChars="0"/>
              <w:jc w:val="right"/>
            </w:pPr>
            <w:r>
              <w:t>(4-2</w:t>
            </w:r>
            <w:r>
              <w:rPr>
                <w:rFonts w:hint="eastAsia"/>
              </w:rPr>
              <w:t>0</w:t>
            </w: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66" w:type="dxa"/>
            <w:vAlign w:val="center"/>
          </w:tcPr>
          <w:p>
            <w:pPr>
              <w:ind w:firstLine="0" w:firstLineChars="0"/>
              <w:jc w:val="center"/>
            </w:pPr>
            <m:oMathPara>
              <m:oMath>
                <m:r>
                  <m:rPr/>
                  <w:rPr>
                    <w:rFonts w:ascii="Cambria Math" w:hAnsi="Cambria Math"/>
                    <w:szCs w:val="21"/>
                  </w:rPr>
                  <m:t xml:space="preserve"> </m:t>
                </m:r>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r>
                  <m:rPr>
                    <m:sty m:val="p"/>
                  </m:rPr>
                  <w:rPr>
                    <w:rFonts w:ascii="Cambria Math" w:hAnsi="Cambria Math" w:eastAsia="微软雅黑"/>
                    <w:szCs w:val="21"/>
                  </w:rPr>
                  <m:t>−</m:t>
                </m:r>
                <m:sSub>
                  <m:sSubPr>
                    <m:ctrlPr>
                      <w:rPr>
                        <w:rFonts w:ascii="Cambria Math" w:hAnsi="Cambria Math"/>
                        <w:i/>
                        <w:szCs w:val="21"/>
                      </w:rPr>
                    </m:ctrlPr>
                  </m:sSubPr>
                  <m:e>
                    <m:r>
                      <m:rPr/>
                      <w:rPr>
                        <w:rFonts w:ascii="Cambria Math" w:hAnsi="Cambria Math"/>
                        <w:szCs w:val="21"/>
                      </w:rPr>
                      <m:t>T</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r>
                  <m:rPr>
                    <m:sty m:val="p"/>
                  </m:rPr>
                  <w:rPr>
                    <w:rFonts w:ascii="Cambria Math" w:hAnsi="Cambria Math"/>
                    <w:szCs w:val="21"/>
                  </w:rPr>
                  <m:t xml:space="preserve"> ≧</m:t>
                </m:r>
                <m:f>
                  <m:fPr>
                    <m:type m:val="lin"/>
                    <m:ctrlPr>
                      <w:rPr>
                        <w:rFonts w:ascii="Cambria Math" w:hAnsi="Cambria Math"/>
                        <w:szCs w:val="21"/>
                      </w:rPr>
                    </m:ctrlPr>
                  </m:fPr>
                  <m:num>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if</m:t>
                        </m:r>
                        <m:ctrlPr>
                          <w:rPr>
                            <w:rFonts w:ascii="Cambria Math" w:hAnsi="Cambria Math"/>
                            <w:szCs w:val="21"/>
                          </w:rPr>
                        </m:ctrlPr>
                      </m:sub>
                    </m:sSub>
                    <m:ctrlPr>
                      <w:rPr>
                        <w:rFonts w:ascii="Cambria Math" w:hAnsi="Cambria Math"/>
                        <w:szCs w:val="21"/>
                      </w:rPr>
                    </m:ctrlPr>
                  </m:num>
                  <m:den>
                    <m:r>
                      <m:rPr>
                        <m:sty m:val="p"/>
                      </m:rPr>
                      <w:rPr>
                        <w:rFonts w:ascii="Cambria Math" w:hAnsi="Cambria Math"/>
                        <w:szCs w:val="21"/>
                      </w:rPr>
                      <m:t>E</m:t>
                    </m:r>
                    <m:ctrlPr>
                      <w:rPr>
                        <w:rFonts w:ascii="Cambria Math" w:hAnsi="Cambria Math"/>
                        <w:szCs w:val="21"/>
                      </w:rPr>
                    </m:ctrlPr>
                  </m:den>
                </m:f>
              </m:oMath>
            </m:oMathPara>
          </w:p>
        </w:tc>
        <w:tc>
          <w:tcPr>
            <w:tcW w:w="930" w:type="dxa"/>
            <w:vAlign w:val="center"/>
          </w:tcPr>
          <w:p>
            <w:pPr>
              <w:ind w:firstLine="0" w:firstLineChars="0"/>
              <w:jc w:val="right"/>
            </w:pPr>
            <w:r>
              <w:t>(4-2</w:t>
            </w:r>
            <w:r>
              <w:rPr>
                <w:rFonts w:hint="eastAsia"/>
              </w:rPr>
              <w:t>1</w:t>
            </w:r>
            <w:r>
              <w:t>)</w:t>
            </w:r>
          </w:p>
        </w:tc>
      </w:tr>
    </w:tbl>
    <w:p>
      <w:pPr>
        <w:widowControl/>
        <w:jc w:val="left"/>
        <w:rPr>
          <w:szCs w:val="21"/>
        </w:rPr>
      </w:pPr>
      <w:r>
        <w:rPr>
          <w:szCs w:val="21"/>
        </w:rPr>
        <w:t>式中</w:t>
      </w:r>
      <m:oMath>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oMath>
      <w:r>
        <w:rPr>
          <w:szCs w:val="21"/>
        </w:rPr>
        <w:t>为商品i的国内价格，</w:t>
      </w:r>
      <m:oMath>
        <m:sSub>
          <m:sSubPr>
            <m:ctrlPr>
              <w:rPr>
                <w:rFonts w:ascii="Cambria Math" w:hAnsi="Cambria Math"/>
                <w:i/>
                <w:szCs w:val="21"/>
              </w:rPr>
            </m:ctrlPr>
          </m:sSubPr>
          <m:e>
            <m:r>
              <m:rPr/>
              <w:rPr>
                <w:rFonts w:ascii="Cambria Math" w:hAnsi="Cambria Math"/>
                <w:szCs w:val="21"/>
              </w:rPr>
              <m:t>P</m:t>
            </m:r>
            <m:ctrlPr>
              <w:rPr>
                <w:rFonts w:ascii="Cambria Math" w:hAnsi="Cambria Math"/>
                <w:i/>
                <w:szCs w:val="21"/>
              </w:rPr>
            </m:ctrlPr>
          </m:e>
          <m:sub>
            <m:r>
              <m:rPr/>
              <w:rPr>
                <w:rFonts w:ascii="Cambria Math" w:hAnsi="Cambria Math"/>
                <w:szCs w:val="21"/>
              </w:rPr>
              <m:t>if</m:t>
            </m:r>
            <m:ctrlPr>
              <w:rPr>
                <w:rFonts w:ascii="Cambria Math" w:hAnsi="Cambria Math"/>
                <w:i/>
                <w:szCs w:val="21"/>
              </w:rPr>
            </m:ctrlPr>
          </m:sub>
        </m:sSub>
      </m:oMath>
      <w:r>
        <w:rPr>
          <w:szCs w:val="21"/>
        </w:rPr>
        <w:t>为商品i的国外价格，E为政府确定的汇率，</w:t>
      </w:r>
      <m:oMath>
        <m:sSub>
          <m:sSubPr>
            <m:ctrlPr>
              <w:rPr>
                <w:rFonts w:ascii="Cambria Math" w:hAnsi="Cambria Math"/>
                <w:i/>
                <w:szCs w:val="21"/>
              </w:rPr>
            </m:ctrlPr>
          </m:sSubPr>
          <m:e>
            <m:r>
              <m:rPr/>
              <w:rPr>
                <w:rFonts w:ascii="Cambria Math" w:hAnsi="Cambria Math"/>
                <w:szCs w:val="21"/>
              </w:rPr>
              <m:t>T</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oMath>
      <w:r>
        <w:rPr>
          <w:szCs w:val="21"/>
        </w:rPr>
        <w:t>为政府对该商品征收的进口关税，</w:t>
      </w:r>
      <m:oMath>
        <m:sSub>
          <m:sSubPr>
            <m:ctrlPr>
              <w:rPr>
                <w:rFonts w:ascii="Cambria Math" w:hAnsi="Cambria Math"/>
                <w:i/>
                <w:szCs w:val="21"/>
              </w:rPr>
            </m:ctrlPr>
          </m:sSubPr>
          <m:e>
            <m:r>
              <m:rPr/>
              <w:rPr>
                <w:rFonts w:ascii="Cambria Math" w:hAnsi="Cambria Math"/>
                <w:szCs w:val="21"/>
              </w:rPr>
              <m:t>T</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rPr>
          <w:szCs w:val="21"/>
        </w:rPr>
        <w:t>为政府对该商品的出口补贴（征收的出口关税则为负），假设运输等其它费用为零。</w:t>
      </w:r>
    </w:p>
    <w:p>
      <w:r>
        <w:t>如果式（4-20）成立，则境内微观经济主体出口商品i将使国家资产效用增加；如果式（4-21）成立，则境内微观经济主体进口商品i将使国家资产效用增加。如果政府禁止出口某种商品，则对该商品征收无穷大出口关税；如果政府禁止进口某种商品，则对该商品征收无穷大进口关税。</w:t>
      </w:r>
    </w:p>
    <w:p>
      <w:r>
        <w:t>这样，政府通过汇率和关税政策让境内单个经济主体利益与国家整体利益一致，把单个经济主体之间的国际贸易转化为以国家为主体的国际贸易。</w:t>
      </w:r>
    </w:p>
    <w:p>
      <w:r>
        <w:t>2. 日常汇率管理</w:t>
      </w:r>
    </w:p>
    <w:p>
      <w:r>
        <w:t>汇率是外汇这个投资品的价格。根据附录1关于投资品价格不存在稳定均衡解的论述，汇率具有天生的不稳定性。但国际贸易需要稳定的汇率，否则进出口企业将承受比较大的汇率波动风险，阻碍国际贸易发展。政府可以通过央行在国际外汇市场公开操作实现本国货币汇率的稳定，具体做法为：政府确定一个汇率使国际贸易保持顺差状态，并保持一定数量的外汇储备。如果贸易顺差下降或外汇储备下降超出正常范围，则以渐变或突变的方式贬值本国货币，以使贸易顺差或外汇储备回到正常范围内。类似地，如果贸易顺差持续上升或外汇储备持续上升超出正常范围，则以渐变或突变的方式升值本国货币，以使贸易顺差或外汇储备回到正常范围内。</w:t>
      </w:r>
    </w:p>
    <w:p>
      <w:pPr>
        <w:pStyle w:val="31"/>
        <w:numPr>
          <w:ilvl w:val="0"/>
          <w:numId w:val="5"/>
        </w:numPr>
        <w:ind w:firstLineChars="0"/>
      </w:pPr>
      <w:r>
        <w:t>自由国际贸易对经济禀赋和通货膨胀临界点的影响</w:t>
      </w:r>
    </w:p>
    <w:p>
      <w:r>
        <w:t>上述自由国际贸易将优化封闭模型经济体的资产结构，促进私人部门产业技术升级，提高经济禀赋，即</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szCs w:val="21"/>
              </w:rPr>
              <w:t xml:space="preserve">   </w:t>
            </w:r>
            <m:oMath>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rPr>
                <w:szCs w:val="21"/>
              </w:rPr>
              <w:t xml:space="preserve">&gt;a </w:t>
            </w:r>
          </w:p>
        </w:tc>
        <w:tc>
          <w:tcPr>
            <w:tcW w:w="930" w:type="dxa"/>
            <w:vAlign w:val="center"/>
          </w:tcPr>
          <w:p>
            <w:pPr>
              <w:ind w:firstLine="0" w:firstLineChars="0"/>
              <w:jc w:val="right"/>
            </w:pPr>
            <w:r>
              <w:t>(4-22)</w:t>
            </w:r>
          </w:p>
        </w:tc>
      </w:tr>
    </w:tbl>
    <w:p>
      <w:r>
        <w:rPr>
          <w:szCs w:val="21"/>
        </w:rPr>
        <w:t xml:space="preserve">式中 </w:t>
      </w:r>
      <m:oMath>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rPr>
          <w:szCs w:val="21"/>
        </w:rPr>
        <w:t>为实行自由国际贸易后的经济禀赋。</w:t>
      </w:r>
      <w:r>
        <w:t>同样的原因，上述自由国际贸易将提高触发通货膨胀的货币供应量增长率临界点，即</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szCs w:val="21"/>
              </w:rPr>
              <w:t xml:space="preserve">   </w:t>
            </w:r>
            <m:oMath>
              <m:sSub>
                <m:sSubPr>
                  <m:ctrlPr>
                    <w:rPr>
                      <w:rFonts w:ascii="Cambria Math" w:hAnsi="Cambria Math"/>
                      <w:i/>
                      <w:szCs w:val="21"/>
                    </w:rPr>
                  </m:ctrlPr>
                </m:sSubPr>
                <m:e>
                  <m:r>
                    <m:rPr/>
                    <w:rPr>
                      <w:rFonts w:ascii="Cambria Math" w:hAnsi="Cambria Math"/>
                      <w:szCs w:val="21"/>
                    </w:rPr>
                    <m:t>c</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rPr>
                <w:szCs w:val="21"/>
              </w:rPr>
              <w:t xml:space="preserve">&gt;c </w:t>
            </w:r>
          </w:p>
        </w:tc>
        <w:tc>
          <w:tcPr>
            <w:tcW w:w="930" w:type="dxa"/>
            <w:vAlign w:val="center"/>
          </w:tcPr>
          <w:p>
            <w:pPr>
              <w:ind w:firstLine="0" w:firstLineChars="0"/>
              <w:jc w:val="right"/>
            </w:pPr>
            <w:r>
              <w:t>(4-23)</w:t>
            </w:r>
          </w:p>
        </w:tc>
      </w:tr>
    </w:tbl>
    <w:p>
      <w:r>
        <w:t>式</w:t>
      </w:r>
      <w:r>
        <w:rPr>
          <w:szCs w:val="21"/>
        </w:rPr>
        <w:t>中</w:t>
      </w:r>
      <m:oMath>
        <m:sSub>
          <m:sSubPr>
            <m:ctrlPr>
              <w:rPr>
                <w:rFonts w:ascii="Cambria Math" w:hAnsi="Cambria Math"/>
                <w:i/>
                <w:szCs w:val="21"/>
              </w:rPr>
            </m:ctrlPr>
          </m:sSubPr>
          <m:e>
            <m:r>
              <m:rPr/>
              <w:rPr>
                <w:rFonts w:ascii="Cambria Math" w:hAnsi="Cambria Math"/>
                <w:szCs w:val="21"/>
              </w:rPr>
              <m:t>c</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t>为实行自由国际贸易后的触发通货膨胀的货币供应量增长率临界点。</w:t>
      </w:r>
    </w:p>
    <w:p>
      <w:pPr>
        <w:pStyle w:val="31"/>
        <w:numPr>
          <w:ilvl w:val="0"/>
          <w:numId w:val="5"/>
        </w:numPr>
        <w:ind w:firstLineChars="0"/>
      </w:pPr>
      <w:r>
        <w:t>管理私人资本跨境流动是模型赖以存在的前提</w:t>
      </w:r>
    </w:p>
    <w:p>
      <w:r>
        <w:t>前文封闭的模型经济体政府依赖货币发行负债投资和支出，降低私人部门外部成本，实质上是政府给了私人部门补贴。私人部门财富通过跨境资本流动转移到国外将导致国家财富流失，具体形式是导致本国货币贬值，降低本国货币的国际购买力，降低国内居民的实际生活水平。反映到经济禀赋和通货膨胀临界点上，私人部门财富转移到国外将降低国内经济禀赋，降低触发通货膨胀的货币供应量增长率临界点。严重时将让政府管理的市场经济无法实现政府投资和支出与私人部门国际竞争力提高的良性逻辑循环。因此，管理私人资本跨境流动、对外投资和融资是政府管理的市场经济赖以建立和存在的前提条件。</w:t>
      </w:r>
    </w:p>
    <w:p>
      <w:r>
        <w:t>政府管理私人部门跨境资本流动后私人部门财富不能流失到国外，而是流向城市居民住房，使货币供应量的增加更多地导致城市居民住房价格上涨，这是货币数量方程为异质的重要原因之一。</w:t>
      </w:r>
    </w:p>
    <w:p>
      <w:pPr>
        <w:pStyle w:val="31"/>
        <w:numPr>
          <w:ilvl w:val="0"/>
          <w:numId w:val="5"/>
        </w:numPr>
        <w:ind w:firstLineChars="0"/>
        <w:rPr>
          <w:bCs/>
          <w:szCs w:val="21"/>
        </w:rPr>
      </w:pPr>
      <w:r>
        <w:rPr>
          <w:rFonts w:asciiTheme="minorEastAsia" w:hAnsiTheme="minorEastAsia" w:eastAsiaTheme="minorEastAsia" w:cstheme="minorEastAsia"/>
        </w:rPr>
        <w:t>重商主义有一定的</w:t>
      </w:r>
      <w:r>
        <w:rPr>
          <w:rFonts w:hint="eastAsia" w:asciiTheme="minorEastAsia" w:hAnsiTheme="minorEastAsia" w:eastAsiaTheme="minorEastAsia" w:cstheme="minorEastAsia"/>
        </w:rPr>
        <w:t>合理性</w:t>
      </w:r>
    </w:p>
    <w:p>
      <w:r>
        <w:t>经验是获得知识的重要途径</w:t>
      </w:r>
      <w:r>
        <w:fldChar w:fldCharType="begin"/>
      </w:r>
      <w:r>
        <w:instrText xml:space="preserve"> ADDIN EN.CITE &lt;EndNote&gt;&lt;Cite&gt;&lt;Author&gt;Arrow&lt;/Author&gt;&lt;Year&gt;1971&lt;/Year&gt;&lt;RecNum&gt;943&lt;/RecNum&gt;&lt;DisplayText&gt;(Kenneth Joseph Arrow, 1971)&lt;/DisplayText&gt;&lt;record&gt;&lt;rec-number&gt;943&lt;/rec-number&gt;&lt;foreign-keys&gt;&lt;key app="EN" db-id="dfw50pzpwrep2aeerx4v2xdyaa5vzeftr0xv" timestamp="1674197525"&gt;943&lt;/key&gt;&lt;/foreign-keys&gt;&lt;ref-type name="Book Section"&gt;5&lt;/ref-type&gt;&lt;contributors&gt;&lt;authors&gt;&lt;author&gt;Arrow, Kenneth Joseph&lt;/author&gt;&lt;/authors&gt;&lt;/contributors&gt;&lt;titles&gt;&lt;title&gt;The economic implications of learning by doing&lt;/title&gt;&lt;secondary-title&gt;Readings in the Theory of Growth&lt;/secondary-title&gt;&lt;/titles&gt;&lt;pages&gt;131-149&lt;/pages&gt;&lt;dates&gt;&lt;year&gt;1971&lt;/year&gt;&lt;/dates&gt;&lt;publisher&gt;Springer&lt;/publisher&gt;&lt;urls&gt;&lt;/urls&gt;&lt;/record&gt;&lt;/Cite&gt;&lt;/EndNote&gt;</w:instrText>
      </w:r>
      <w:r>
        <w:fldChar w:fldCharType="separate"/>
      </w:r>
      <w:r>
        <w:t>(Arrow, 1971)</w:t>
      </w:r>
      <w:r>
        <w:fldChar w:fldCharType="end"/>
      </w:r>
      <w:r>
        <w:t>。任何国家的政府都希望保留更多的产业，</w:t>
      </w:r>
      <w:r>
        <w:rPr>
          <w:rFonts w:hint="eastAsia"/>
        </w:rPr>
        <w:t>因此每个国家</w:t>
      </w:r>
      <w:r>
        <w:t>都希望本国货币汇率比较低，</w:t>
      </w:r>
      <w:r>
        <w:rPr>
          <w:rFonts w:hint="eastAsia"/>
        </w:rPr>
        <w:t>对</w:t>
      </w:r>
      <w:r>
        <w:t>重要产业</w:t>
      </w:r>
      <w:r>
        <w:rPr>
          <w:rFonts w:hint="eastAsia"/>
        </w:rPr>
        <w:t>通过</w:t>
      </w:r>
      <w:r>
        <w:t>进口关税</w:t>
      </w:r>
      <w:r>
        <w:rPr>
          <w:rFonts w:hint="eastAsia"/>
        </w:rPr>
        <w:t>保护国内市场</w:t>
      </w:r>
      <w:r>
        <w:t>，</w:t>
      </w:r>
      <w:r>
        <w:rPr>
          <w:rFonts w:hint="eastAsia"/>
        </w:rPr>
        <w:t>或实行</w:t>
      </w:r>
      <w:r>
        <w:t>出口补贴</w:t>
      </w:r>
      <w:r>
        <w:rPr>
          <w:rFonts w:hint="eastAsia"/>
        </w:rPr>
        <w:t>占领更多全球市场</w:t>
      </w:r>
      <w:r>
        <w:t>。这意味着各国的汇率与关税政策是利益冲突的，是国与国之间的非合作博弈</w:t>
      </w:r>
      <w:r>
        <w:rPr>
          <w:rFonts w:hint="eastAsia"/>
        </w:rPr>
        <w:t>。</w:t>
      </w:r>
      <w:r>
        <w:t>这意味着重商主义有一定的合理性。</w:t>
      </w:r>
    </w:p>
    <w:p>
      <w:r>
        <w:rPr>
          <w:rFonts w:hint="eastAsia"/>
        </w:rPr>
        <w:t>中国发展成为世界产业中心，最重要的原因之一是政府大量投资经济基础设施降低了私人部门企业的外部成本（节省交通时间和费用）和家庭的生活支出（教育医疗费用低等），降低了国内产品的生产成本，提高了其国际竞争力。</w:t>
      </w:r>
    </w:p>
    <w:p>
      <w:r>
        <w:t>国与国之间应该展开国际贸易谈判，在汇率和关税政策上妥协而达成一致，实现共赢。</w:t>
      </w:r>
    </w:p>
    <w:p>
      <w:r>
        <w:t>（</w:t>
      </w:r>
      <w:r>
        <w:rPr>
          <w:rFonts w:hint="eastAsia"/>
          <w:lang w:val="en-US" w:eastAsia="zh-CN"/>
        </w:rPr>
        <w:t>八</w:t>
      </w:r>
      <w:r>
        <w:t>）</w:t>
      </w:r>
      <w:r>
        <w:rPr>
          <w:rFonts w:hint="eastAsia"/>
          <w:lang w:val="en-US" w:eastAsia="zh-CN"/>
        </w:rPr>
        <w:t>本文模型与新古典</w:t>
      </w:r>
      <w:r>
        <w:rPr>
          <w:rFonts w:hint="default"/>
          <w:lang w:eastAsia="zh-CN"/>
        </w:rPr>
        <w:t>学派模型</w:t>
      </w:r>
      <w:r>
        <w:rPr>
          <w:rFonts w:hint="eastAsia" w:ascii="微软雅黑" w:hAnsi="微软雅黑" w:eastAsia="微软雅黑" w:cs="微软雅黑"/>
          <w:lang w:eastAsia="zh-CN"/>
        </w:rPr>
        <w:t>、</w:t>
      </w:r>
      <w:r>
        <w:rPr>
          <w:rFonts w:hint="eastAsia"/>
          <w:lang w:val="en-US" w:eastAsia="zh-CN"/>
        </w:rPr>
        <w:t>凯恩斯</w:t>
      </w:r>
      <w:r>
        <w:rPr>
          <w:rFonts w:hint="default"/>
          <w:lang w:eastAsia="zh-CN"/>
        </w:rPr>
        <w:t>学派</w:t>
      </w:r>
      <w:r>
        <w:rPr>
          <w:rFonts w:hint="eastAsia"/>
          <w:lang w:val="en-US" w:eastAsia="zh-CN"/>
        </w:rPr>
        <w:t>模型的比较</w:t>
      </w:r>
    </w:p>
    <w:p>
      <w:pPr>
        <w:rPr>
          <w:rFonts w:hint="eastAsia"/>
          <w:lang w:val="en-US" w:eastAsia="zh-CN"/>
        </w:rPr>
      </w:pPr>
      <w:r>
        <w:t>本文</w:t>
      </w:r>
      <w:r>
        <w:rPr>
          <w:rFonts w:hint="eastAsia"/>
          <w:lang w:val="en-US" w:eastAsia="zh-CN"/>
        </w:rPr>
        <w:t>微观及宏观模型</w:t>
      </w:r>
      <w:r>
        <w:rPr>
          <w:rFonts w:hint="eastAsia"/>
        </w:rPr>
        <w:t>与</w:t>
      </w:r>
      <w:r>
        <w:rPr>
          <w:rFonts w:hint="eastAsia"/>
          <w:lang w:val="en-US" w:eastAsia="zh-CN"/>
        </w:rPr>
        <w:t>新古典学派微观及宏观模型</w:t>
      </w:r>
      <w:r>
        <w:rPr>
          <w:rFonts w:hint="eastAsia" w:ascii="微软雅黑" w:hAnsi="微软雅黑" w:eastAsia="微软雅黑" w:cs="微软雅黑"/>
          <w:lang w:val="en-US" w:eastAsia="zh-CN"/>
        </w:rPr>
        <w:t>、</w:t>
      </w:r>
      <w:r>
        <w:rPr>
          <w:rFonts w:hint="eastAsia"/>
          <w:lang w:val="en-US" w:eastAsia="zh-CN"/>
        </w:rPr>
        <w:t>凯恩斯学派宏观</w:t>
      </w:r>
      <w:r>
        <w:rPr>
          <w:rFonts w:hint="default"/>
          <w:lang w:eastAsia="zh-CN"/>
        </w:rPr>
        <w:t>模型</w:t>
      </w:r>
      <w:r>
        <w:rPr>
          <w:rFonts w:hint="eastAsia"/>
          <w:lang w:val="en-US" w:eastAsia="zh-CN"/>
        </w:rPr>
        <w:t>关于市场经济微观机制的基本规律假设不同，</w:t>
      </w:r>
      <w:r>
        <w:t>关于</w:t>
      </w:r>
      <w:r>
        <w:rPr>
          <w:rFonts w:hint="eastAsia"/>
          <w:lang w:val="en-US" w:eastAsia="zh-CN"/>
        </w:rPr>
        <w:t>宏观</w:t>
      </w:r>
      <w:r>
        <w:rPr>
          <w:rFonts w:hint="eastAsia"/>
        </w:rPr>
        <w:t>经济变量关系曲线</w:t>
      </w:r>
      <w:r>
        <w:rPr>
          <w:rFonts w:hint="eastAsia"/>
          <w:lang w:val="en-US" w:eastAsia="zh-CN"/>
        </w:rPr>
        <w:t>特性</w:t>
      </w:r>
      <w:r>
        <w:t>的</w:t>
      </w:r>
      <w:r>
        <w:rPr>
          <w:rFonts w:hint="eastAsia"/>
          <w:lang w:val="en-US" w:eastAsia="zh-CN"/>
        </w:rPr>
        <w:t>基本</w:t>
      </w:r>
      <w:r>
        <w:t>假设不同</w:t>
      </w:r>
      <w:r>
        <w:rPr>
          <w:rFonts w:hint="eastAsia"/>
        </w:rPr>
        <w:t>，形成不同</w:t>
      </w:r>
      <w:r>
        <w:rPr>
          <w:rFonts w:hint="default"/>
        </w:rPr>
        <w:t>的形式</w:t>
      </w:r>
      <w:r>
        <w:rPr>
          <w:rFonts w:hint="eastAsia"/>
          <w:lang w:val="en-US" w:eastAsia="zh-CN"/>
        </w:rPr>
        <w:t>逻辑体系，对应不同</w:t>
      </w:r>
      <w:r>
        <w:rPr>
          <w:rFonts w:hint="default"/>
          <w:lang w:eastAsia="zh-CN"/>
        </w:rPr>
        <w:t>的政府</w:t>
      </w:r>
      <w:r>
        <w:rPr>
          <w:rFonts w:hint="eastAsia"/>
          <w:lang w:val="en-US" w:eastAsia="zh-CN"/>
        </w:rPr>
        <w:t>政策。</w:t>
      </w:r>
    </w:p>
    <w:p>
      <w:pPr>
        <w:numPr>
          <w:ilvl w:val="0"/>
          <w:numId w:val="6"/>
        </w:numPr>
        <w:rPr>
          <w:rFonts w:hint="eastAsia"/>
          <w:lang w:val="en-US" w:eastAsia="zh-CN"/>
        </w:rPr>
      </w:pPr>
      <w:r>
        <w:rPr>
          <w:rFonts w:hint="eastAsia"/>
          <w:lang w:val="en-US" w:eastAsia="zh-CN"/>
        </w:rPr>
        <w:t>经济产出最优点vs</w:t>
      </w:r>
      <w:r>
        <w:rPr>
          <w:rFonts w:hint="default"/>
          <w:lang w:eastAsia="zh-CN"/>
        </w:rPr>
        <w:t>政策优化</w:t>
      </w:r>
      <w:r>
        <w:rPr>
          <w:rFonts w:hint="eastAsia"/>
          <w:lang w:val="en-US" w:eastAsia="zh-CN"/>
        </w:rPr>
        <w:t>经济产出</w:t>
      </w:r>
    </w:p>
    <w:p>
      <w:pPr>
        <w:numPr>
          <w:ilvl w:val="0"/>
          <w:numId w:val="0"/>
        </w:numPr>
        <w:ind w:leftChars="0" w:firstLine="420"/>
        <w:rPr>
          <w:rFonts w:hint="default"/>
          <w:lang w:eastAsia="zh-CN"/>
        </w:rPr>
      </w:pPr>
      <w:r>
        <w:rPr>
          <w:rFonts w:hint="eastAsia"/>
          <w:lang w:val="en-US" w:eastAsia="zh-CN"/>
        </w:rPr>
        <w:t>新古典学派</w:t>
      </w:r>
      <w:r>
        <w:rPr>
          <w:rFonts w:hint="default"/>
          <w:lang w:eastAsia="zh-CN"/>
        </w:rPr>
        <w:t>阿罗-德布鲁微观一般均衡模型认为</w:t>
      </w:r>
      <w:r>
        <w:rPr>
          <w:rFonts w:hint="eastAsia"/>
          <w:lang w:val="en-US" w:eastAsia="zh-CN"/>
        </w:rPr>
        <w:t>没有政府干预的自由市场经济能自身</w:t>
      </w:r>
      <w:r>
        <w:rPr>
          <w:rFonts w:hint="default"/>
          <w:lang w:eastAsia="zh-CN"/>
        </w:rPr>
        <w:t>实现</w:t>
      </w:r>
      <w:r>
        <w:rPr>
          <w:rFonts w:hint="eastAsia"/>
          <w:lang w:val="en-US" w:eastAsia="zh-CN"/>
        </w:rPr>
        <w:t>竞争性均衡</w:t>
      </w:r>
      <w:r>
        <w:rPr>
          <w:rFonts w:hint="default"/>
          <w:lang w:eastAsia="zh-CN"/>
        </w:rPr>
        <w:t>；宏观</w:t>
      </w:r>
      <w:r>
        <w:rPr>
          <w:rFonts w:hint="eastAsia"/>
          <w:lang w:val="en-US" w:eastAsia="zh-CN"/>
        </w:rPr>
        <w:t>索洛经济增长模型认为资本积累K和人口L的比例r=K/L中长期将出现稳定均衡点，这时将出现资本积累全利用和劳动力全就业，这时对应的经济产出为最优社会产出。</w:t>
      </w:r>
      <w:r>
        <w:rPr>
          <w:rFonts w:hint="default"/>
          <w:lang w:eastAsia="zh-CN"/>
        </w:rPr>
        <w:t>在新古典的逻辑体系里，没有政府干预的自由市场的经济产出将是最优的。</w:t>
      </w:r>
    </w:p>
    <w:p>
      <w:pPr>
        <w:numPr>
          <w:ilvl w:val="0"/>
          <w:numId w:val="0"/>
        </w:numPr>
        <w:ind w:leftChars="0" w:firstLine="420"/>
        <w:rPr>
          <w:rFonts w:hint="eastAsia"/>
          <w:lang w:val="en-US" w:eastAsia="zh-CN"/>
        </w:rPr>
      </w:pPr>
      <w:r>
        <w:rPr>
          <w:rFonts w:hint="eastAsia"/>
          <w:lang w:val="en-US" w:eastAsia="zh-CN"/>
        </w:rPr>
        <w:t>凯恩斯学派虽然不主张政府零干预，但希克斯IS-LM模型认为包含政府支出的市场经济存在均衡市场利率，其对应的经济产出是最优经济产出，政府政策目标是寻找最佳政府支出使实际利率与均衡零接近。</w:t>
      </w:r>
    </w:p>
    <w:p>
      <w:pPr>
        <w:numPr>
          <w:ilvl w:val="0"/>
          <w:numId w:val="0"/>
        </w:numPr>
        <w:ind w:leftChars="0" w:firstLine="420"/>
        <w:rPr>
          <w:rFonts w:hint="default"/>
          <w:lang w:val="en-US" w:eastAsia="zh-CN"/>
        </w:rPr>
      </w:pPr>
      <w:r>
        <w:rPr>
          <w:rFonts w:hint="eastAsia"/>
          <w:lang w:val="en-US" w:eastAsia="zh-CN"/>
        </w:rPr>
        <w:t>本文</w:t>
      </w:r>
      <w:r>
        <w:rPr>
          <w:rFonts w:hint="default"/>
          <w:lang w:eastAsia="zh-CN"/>
        </w:rPr>
        <w:t>微观模型认为交易次数为有限次的非投资品商品交换，投资品商品交换和商品生产不能实现竞争性均衡，自由市场的经济产出不是最优的，政府政策能优化经济产出。在通货膨胀率不超过政策目标的前提条件下，政府政策可最大程度平滑经济波动，最大程度挖掘经济增长潜力，以提高经济体禀赋和改善民众生活。政府政策包括利率等货币政策，汇率及关税政策，对外投资政策，政府投资和支出政策等。过去四十多年的经济实践表明，政府政策对经济产出的提高很显著。必须指出的是，</w:t>
      </w:r>
      <w:r>
        <w:rPr>
          <w:rFonts w:hint="eastAsia"/>
          <w:lang w:val="en-US" w:eastAsia="zh-CN"/>
        </w:rPr>
        <w:t>控制通货膨胀在目标范围内是</w:t>
      </w:r>
      <w:r>
        <w:rPr>
          <w:rFonts w:hint="default"/>
          <w:lang w:eastAsia="zh-CN"/>
        </w:rPr>
        <w:t>政府政策的</w:t>
      </w:r>
      <w:r>
        <w:rPr>
          <w:rFonts w:hint="eastAsia"/>
          <w:lang w:val="en-US" w:eastAsia="zh-CN"/>
        </w:rPr>
        <w:t>约束边界</w:t>
      </w:r>
      <w:r>
        <w:rPr>
          <w:rFonts w:hint="default"/>
          <w:lang w:eastAsia="zh-CN"/>
        </w:rPr>
        <w:t>，</w:t>
      </w:r>
      <w:r>
        <w:rPr>
          <w:rFonts w:hint="eastAsia"/>
          <w:lang w:val="en-US" w:eastAsia="zh-CN"/>
        </w:rPr>
        <w:t>管理私人资本跨境流动，防止国家财富流失到国外是模型成立的</w:t>
      </w:r>
      <w:r>
        <w:rPr>
          <w:rFonts w:hint="default"/>
          <w:lang w:eastAsia="zh-CN"/>
        </w:rPr>
        <w:t>前提条件</w:t>
      </w:r>
      <w:r>
        <w:rPr>
          <w:rFonts w:hint="eastAsia"/>
          <w:lang w:val="en-US" w:eastAsia="zh-CN"/>
        </w:rPr>
        <w:t>。</w:t>
      </w:r>
    </w:p>
    <w:p>
      <w:pPr>
        <w:numPr>
          <w:ilvl w:val="0"/>
          <w:numId w:val="0"/>
        </w:numPr>
        <w:ind w:leftChars="0" w:firstLine="420"/>
        <w:rPr>
          <w:rFonts w:hint="eastAsia"/>
          <w:lang w:val="en-US" w:eastAsia="zh-CN"/>
        </w:rPr>
      </w:pPr>
      <w:r>
        <w:rPr>
          <w:rFonts w:hint="eastAsia"/>
        </w:rPr>
        <w:t>1921年至1939年长达19年的时间里，英国失业率始终维持10%以上</w:t>
      </w:r>
      <w:r>
        <w:fldChar w:fldCharType="begin"/>
      </w:r>
      <w:r>
        <w:instrText xml:space="preserve"> ADDIN EN.CITE &lt;EndNote&gt;&lt;Cite&gt;&lt;Author&gt;Phillips&lt;/Author&gt;&lt;Year&gt;1958&lt;/Year&gt;&lt;RecNum&gt;956&lt;/RecNum&gt;&lt;DisplayText&gt;(Phillips, 1958)&lt;/DisplayText&gt;&lt;record&gt;&lt;rec-number&gt;956&lt;/rec-number&gt;&lt;foreign-keys&gt;&lt;key app="EN" db-id="dfw50pzpwrep2aeerx4v2xdyaa5vzeftr0xv" timestamp="1674198091"&gt;956&lt;/key&gt;&lt;/foreign-keys&gt;&lt;ref-type name="Journal Article"&gt;17&lt;/ref-type&gt;&lt;contributors&gt;&lt;authors&gt;&lt;author&gt;Phillips, Alban W.&lt;/author&gt;&lt;/authors&gt;&lt;/contributors&gt;&lt;titles&gt;&lt;title&gt;The relation between unemployment and the rate of change of money wage rates in the United Kingdom, 1861-1957&lt;/title&gt;&lt;secondary-title&gt;economica&lt;/secondary-title&gt;&lt;/titles&gt;&lt;periodical&gt;&lt;full-title&gt;economica&lt;/full-title&gt;&lt;/periodical&gt;&lt;pages&gt;283-299&lt;/pages&gt;&lt;volume&gt;25&lt;/volume&gt;&lt;number&gt;100&lt;/number&gt;&lt;dates&gt;&lt;year&gt;1958&lt;/year&gt;&lt;/dates&gt;&lt;publisher&gt;JSTOR&lt;/publisher&gt;&lt;isbn&gt;0013-0427&lt;/isbn&gt;&lt;urls&gt;&lt;/urls&gt;&lt;/record&gt;&lt;/Cite&gt;&lt;/EndNote&gt;</w:instrText>
      </w:r>
      <w:r>
        <w:fldChar w:fldCharType="separate"/>
      </w:r>
      <w:r>
        <w:t>(Phillips, 1958)</w:t>
      </w:r>
      <w:r>
        <w:fldChar w:fldCharType="end"/>
      </w:r>
      <w:r>
        <w:rPr>
          <w:rFonts w:hint="eastAsia"/>
          <w:lang w:eastAsia="zh-CN"/>
        </w:rPr>
        <w:t>，</w:t>
      </w:r>
      <w:r>
        <w:rPr>
          <w:rFonts w:hint="eastAsia"/>
          <w:lang w:val="en-US" w:eastAsia="zh-CN"/>
        </w:rPr>
        <w:t>这不支持新古典学派和凯恩斯学派</w:t>
      </w:r>
      <w:r>
        <w:rPr>
          <w:rFonts w:hint="default"/>
          <w:lang w:eastAsia="zh-CN"/>
        </w:rPr>
        <w:t>市场经济存在优化均衡</w:t>
      </w:r>
      <w:r>
        <w:rPr>
          <w:rFonts w:hint="eastAsia"/>
          <w:lang w:val="en-US" w:eastAsia="zh-CN"/>
        </w:rPr>
        <w:t>的主张</w:t>
      </w:r>
      <w:r>
        <w:rPr>
          <w:rFonts w:hint="default"/>
          <w:lang w:eastAsia="zh-CN"/>
        </w:rPr>
        <w:t>，因为失业率长期大于10%与优化均衡相距甚远，</w:t>
      </w:r>
      <w:r>
        <w:rPr>
          <w:rFonts w:hint="eastAsia"/>
          <w:lang w:val="en-US" w:eastAsia="zh-CN"/>
        </w:rPr>
        <w:t>这也与</w:t>
      </w:r>
      <w:r>
        <w:rPr>
          <w:rFonts w:hint="default"/>
          <w:lang w:eastAsia="zh-CN"/>
        </w:rPr>
        <w:t>与索洛经济增长模型中长期实现劳动力全利用相距甚远</w:t>
      </w:r>
      <w:r>
        <w:rPr>
          <w:rFonts w:hint="eastAsia"/>
          <w:lang w:val="en-US" w:eastAsia="zh-CN"/>
        </w:rPr>
        <w:t>；1978年中国改革开放后中国经济增长和科学与技术发展显著比印度好，这支持本模型的主张而不支持新古典学派的主张。</w:t>
      </w:r>
    </w:p>
    <w:p>
      <w:pPr>
        <w:numPr>
          <w:ilvl w:val="0"/>
          <w:numId w:val="6"/>
        </w:numPr>
        <w:ind w:left="0" w:leftChars="0" w:firstLine="420" w:firstLineChars="200"/>
        <w:rPr>
          <w:rFonts w:hint="default"/>
          <w:lang w:val="en-US" w:eastAsia="zh-CN"/>
        </w:rPr>
      </w:pPr>
      <w:r>
        <w:rPr>
          <w:rFonts w:hint="eastAsia"/>
          <w:lang w:val="en-US" w:eastAsia="zh-CN"/>
        </w:rPr>
        <w:t>资源配置效率vs资源配置效率</w:t>
      </w:r>
      <w:r>
        <w:rPr>
          <w:rFonts w:hint="default"/>
          <w:lang w:eastAsia="zh-CN"/>
        </w:rPr>
        <w:t>与经济体禀赋建设</w:t>
      </w:r>
      <w:r>
        <w:rPr>
          <w:rFonts w:hint="eastAsia"/>
          <w:lang w:val="en-US" w:eastAsia="zh-CN"/>
        </w:rPr>
        <w:t>并重</w:t>
      </w:r>
    </w:p>
    <w:p>
      <w:pPr>
        <w:numPr>
          <w:ilvl w:val="0"/>
          <w:numId w:val="0"/>
        </w:numPr>
        <w:ind w:firstLine="420" w:firstLineChars="200"/>
        <w:rPr>
          <w:rFonts w:hint="default"/>
          <w:lang w:eastAsia="zh-CN"/>
        </w:rPr>
      </w:pPr>
      <w:r>
        <w:rPr>
          <w:rFonts w:hint="default"/>
          <w:lang w:eastAsia="zh-CN"/>
        </w:rPr>
        <w:t>新古典宏观</w:t>
      </w:r>
      <w:r>
        <w:rPr>
          <w:rFonts w:hint="eastAsia"/>
          <w:lang w:val="en-US" w:eastAsia="zh-CN"/>
        </w:rPr>
        <w:t>索洛</w:t>
      </w:r>
      <w:r>
        <w:rPr>
          <w:rFonts w:hint="default"/>
          <w:lang w:eastAsia="zh-CN"/>
        </w:rPr>
        <w:t>经济增长</w:t>
      </w:r>
      <w:r>
        <w:rPr>
          <w:rFonts w:hint="eastAsia"/>
          <w:lang w:val="en-US" w:eastAsia="zh-CN"/>
        </w:rPr>
        <w:t>模型</w:t>
      </w:r>
      <w:r>
        <w:rPr>
          <w:rFonts w:hint="default"/>
          <w:lang w:eastAsia="zh-CN"/>
        </w:rPr>
        <w:t>隐含约束为</w:t>
      </w:r>
      <w:r>
        <w:rPr>
          <w:rFonts w:hint="eastAsia"/>
          <w:lang w:val="en-US" w:eastAsia="zh-CN"/>
        </w:rPr>
        <w:t>经济产出规模递减，这</w:t>
      </w:r>
      <w:r>
        <w:rPr>
          <w:rFonts w:hint="default"/>
          <w:lang w:eastAsia="zh-CN"/>
        </w:rPr>
        <w:t>也</w:t>
      </w:r>
      <w:r>
        <w:rPr>
          <w:rFonts w:hint="eastAsia"/>
          <w:lang w:val="en-US" w:eastAsia="zh-CN"/>
        </w:rPr>
        <w:t>隐含资源有限</w:t>
      </w:r>
      <w:r>
        <w:rPr>
          <w:rFonts w:hint="default"/>
          <w:lang w:eastAsia="zh-CN"/>
        </w:rPr>
        <w:t>。</w:t>
      </w:r>
      <w:r>
        <w:rPr>
          <w:rFonts w:hint="eastAsia"/>
          <w:lang w:val="en-US" w:eastAsia="zh-CN"/>
        </w:rPr>
        <w:t>因为过度使用有限资源将导致价格上涨，因而经济产出规模递减。因此</w:t>
      </w:r>
      <w:r>
        <w:rPr>
          <w:rFonts w:hint="default"/>
          <w:lang w:eastAsia="zh-CN"/>
        </w:rPr>
        <w:t>，</w:t>
      </w:r>
      <w:r>
        <w:rPr>
          <w:rFonts w:hint="eastAsia"/>
          <w:lang w:val="en-US" w:eastAsia="zh-CN"/>
        </w:rPr>
        <w:t>新古典学派</w:t>
      </w:r>
      <w:r>
        <w:rPr>
          <w:rFonts w:hint="default"/>
          <w:lang w:eastAsia="zh-CN"/>
        </w:rPr>
        <w:t>看重</w:t>
      </w:r>
      <w:r>
        <w:rPr>
          <w:rFonts w:hint="eastAsia"/>
          <w:lang w:val="en-US" w:eastAsia="zh-CN"/>
        </w:rPr>
        <w:t>资源配置效率</w:t>
      </w:r>
      <w:r>
        <w:rPr>
          <w:rFonts w:hint="default"/>
          <w:lang w:eastAsia="zh-CN"/>
        </w:rPr>
        <w:t>。由于市场配置资源效率比政府配置资源效率高，因此新古典主张</w:t>
      </w:r>
      <w:r>
        <w:rPr>
          <w:rFonts w:hint="eastAsia"/>
          <w:lang w:val="en-US" w:eastAsia="zh-CN"/>
        </w:rPr>
        <w:t>没有政府干预的</w:t>
      </w:r>
      <w:r>
        <w:rPr>
          <w:rFonts w:hint="default"/>
          <w:lang w:eastAsia="zh-CN"/>
        </w:rPr>
        <w:t>自由</w:t>
      </w:r>
      <w:r>
        <w:rPr>
          <w:rFonts w:hint="eastAsia"/>
          <w:lang w:val="en-US" w:eastAsia="zh-CN"/>
        </w:rPr>
        <w:t>市场</w:t>
      </w:r>
      <w:r>
        <w:rPr>
          <w:rFonts w:hint="default"/>
          <w:lang w:eastAsia="zh-CN"/>
        </w:rPr>
        <w:t>经济。</w:t>
      </w:r>
    </w:p>
    <w:p>
      <w:pPr>
        <w:numPr>
          <w:ilvl w:val="0"/>
          <w:numId w:val="0"/>
        </w:numPr>
        <w:ind w:firstLine="420" w:firstLineChars="200"/>
        <w:rPr>
          <w:rFonts w:hint="eastAsia"/>
          <w:lang w:val="en-US" w:eastAsia="zh-CN"/>
        </w:rPr>
      </w:pPr>
      <w:r>
        <w:rPr>
          <w:rFonts w:hint="eastAsia"/>
          <w:lang w:val="en-US" w:eastAsia="zh-CN"/>
        </w:rPr>
        <w:t>本文模型认为</w:t>
      </w:r>
      <w:r>
        <w:rPr>
          <w:rFonts w:hint="default"/>
          <w:lang w:eastAsia="zh-CN"/>
        </w:rPr>
        <w:t>资源有限只是经济产出的最重要约束条件之一，各经济主体含</w:t>
      </w:r>
      <w:r>
        <w:rPr>
          <w:rFonts w:hint="eastAsia"/>
          <w:lang w:val="en-US" w:eastAsia="zh-CN"/>
        </w:rPr>
        <w:t>知识</w:t>
      </w:r>
      <w:r>
        <w:rPr>
          <w:rFonts w:hint="default"/>
          <w:lang w:eastAsia="zh-CN"/>
        </w:rPr>
        <w:t>的资本积累增加对经济产出也有重要影响。</w:t>
      </w:r>
      <w:r>
        <w:rPr>
          <w:rFonts w:hint="eastAsia"/>
          <w:lang w:val="en-US" w:eastAsia="zh-CN"/>
        </w:rPr>
        <w:t>因此</w:t>
      </w:r>
      <w:r>
        <w:rPr>
          <w:rFonts w:hint="default"/>
          <w:lang w:eastAsia="zh-CN"/>
        </w:rPr>
        <w:t>，</w:t>
      </w:r>
      <w:r>
        <w:rPr>
          <w:rFonts w:hint="eastAsia"/>
          <w:lang w:val="en-US" w:eastAsia="zh-CN"/>
        </w:rPr>
        <w:t>本文模型主张资源配置效率与</w:t>
      </w:r>
      <w:r>
        <w:rPr>
          <w:rFonts w:hint="default"/>
          <w:lang w:eastAsia="zh-CN"/>
        </w:rPr>
        <w:t>经济体禀赋建设并重，政府完善各种社会制度激励各经济主体增加资本积累，同时政府直接投资科学与技术研发、直接投资经济基础设施和民生工程以直接增加政府资本积累</w:t>
      </w:r>
      <w:r>
        <w:rPr>
          <w:rFonts w:hint="eastAsia"/>
          <w:lang w:val="en-US" w:eastAsia="zh-CN"/>
        </w:rPr>
        <w:t>。</w:t>
      </w:r>
    </w:p>
    <w:p>
      <w:pPr>
        <w:numPr>
          <w:ilvl w:val="0"/>
          <w:numId w:val="6"/>
        </w:numPr>
        <w:ind w:left="0" w:leftChars="0" w:firstLine="420" w:firstLineChars="200"/>
        <w:rPr>
          <w:rFonts w:hint="default"/>
          <w:lang w:val="en-US" w:eastAsia="zh-CN"/>
        </w:rPr>
      </w:pPr>
      <w:r>
        <w:rPr>
          <w:rFonts w:hint="eastAsia"/>
          <w:lang w:val="en-US" w:eastAsia="zh-CN"/>
        </w:rPr>
        <w:t>金融危机</w:t>
      </w:r>
      <w:r>
        <w:rPr>
          <w:rFonts w:hint="eastAsia" w:ascii="微软雅黑" w:hAnsi="微软雅黑" w:eastAsia="微软雅黑" w:cs="微软雅黑"/>
          <w:lang w:val="en-US" w:eastAsia="zh-CN"/>
        </w:rPr>
        <w:t>、</w:t>
      </w:r>
      <w:r>
        <w:rPr>
          <w:rFonts w:hint="eastAsia"/>
          <w:lang w:val="en-US" w:eastAsia="zh-CN"/>
        </w:rPr>
        <w:t>经济危机和经济波动</w:t>
      </w:r>
    </w:p>
    <w:p>
      <w:pPr>
        <w:numPr>
          <w:ilvl w:val="0"/>
          <w:numId w:val="0"/>
        </w:numPr>
        <w:ind w:firstLine="420" w:firstLineChars="200"/>
        <w:rPr>
          <w:rFonts w:hint="default"/>
          <w:lang w:eastAsia="zh-CN"/>
        </w:rPr>
      </w:pPr>
      <w:r>
        <w:rPr>
          <w:rFonts w:hint="eastAsia"/>
          <w:lang w:val="en-US" w:eastAsia="zh-CN"/>
        </w:rPr>
        <w:t>新古典学派和凯恩斯学派</w:t>
      </w:r>
      <w:r>
        <w:rPr>
          <w:rFonts w:hint="default"/>
          <w:lang w:eastAsia="zh-CN"/>
        </w:rPr>
        <w:t>其</w:t>
      </w:r>
      <w:r>
        <w:rPr>
          <w:rFonts w:hint="eastAsia"/>
          <w:lang w:val="en-US" w:eastAsia="zh-CN"/>
        </w:rPr>
        <w:t>商业银行为私人部门。</w:t>
      </w:r>
      <w:r>
        <w:rPr>
          <w:rFonts w:hint="eastAsia"/>
        </w:rPr>
        <w:t>商业银行业务是借短放长</w:t>
      </w:r>
      <w:r>
        <w:rPr>
          <w:rFonts w:hint="eastAsia"/>
          <w:lang w:eastAsia="zh-CN"/>
        </w:rPr>
        <w:t>，</w:t>
      </w:r>
      <w:r>
        <w:rPr>
          <w:rFonts w:hint="eastAsia"/>
          <w:lang w:val="en-US" w:eastAsia="zh-CN"/>
        </w:rPr>
        <w:t>与客户随时可取出存款时间上是错配的</w:t>
      </w:r>
      <w:r>
        <w:rPr>
          <w:rFonts w:hint="default"/>
          <w:lang w:eastAsia="zh-CN"/>
        </w:rPr>
        <w:t>。如果政府（央行）不对商业银行出现流动性困难施救，一些经营差的的商业银行倒闭引发连锁反应导致金融危机、经济危机和经济波动是必然好。</w:t>
      </w:r>
    </w:p>
    <w:p>
      <w:pPr>
        <w:numPr>
          <w:ilvl w:val="0"/>
          <w:numId w:val="0"/>
        </w:numPr>
        <w:ind w:firstLine="420" w:firstLineChars="200"/>
        <w:rPr>
          <w:rFonts w:hint="default"/>
          <w:lang w:eastAsia="zh-CN"/>
        </w:rPr>
      </w:pPr>
      <w:r>
        <w:rPr>
          <w:rFonts w:hint="default"/>
          <w:lang w:eastAsia="zh-CN"/>
        </w:rPr>
        <w:t>在经济实践中，美国等西方国家已突破新古典的原则框架，对商业银行的流动性困难无上限无条件施救，这避免了金融危机和经济危机的发生，降低了经济波动。</w:t>
      </w:r>
    </w:p>
    <w:p>
      <w:pPr>
        <w:numPr>
          <w:ilvl w:val="0"/>
          <w:numId w:val="0"/>
        </w:numPr>
        <w:ind w:firstLine="420" w:firstLineChars="200"/>
        <w:rPr>
          <w:rFonts w:hint="default"/>
          <w:lang w:val="en-US" w:eastAsia="zh-CN"/>
        </w:rPr>
      </w:pPr>
      <w:r>
        <w:rPr>
          <w:rFonts w:hint="eastAsia"/>
          <w:lang w:val="en-US" w:eastAsia="zh-CN"/>
        </w:rPr>
        <w:t>本文模型商业银行等货币机构政府化，可以从理论上避免金融危机和经济危机</w:t>
      </w:r>
      <w:r>
        <w:rPr>
          <w:rFonts w:hint="default"/>
          <w:lang w:eastAsia="zh-CN"/>
        </w:rPr>
        <w:t>。</w:t>
      </w:r>
      <w:r>
        <w:rPr>
          <w:rFonts w:hint="eastAsia"/>
          <w:lang w:val="en-US" w:eastAsia="zh-CN"/>
        </w:rPr>
        <w:t>以货币发行</w:t>
      </w:r>
      <w:r>
        <w:rPr>
          <w:rFonts w:hint="default"/>
          <w:lang w:eastAsia="zh-CN"/>
        </w:rPr>
        <w:t>为资金来源</w:t>
      </w:r>
      <w:r>
        <w:rPr>
          <w:rFonts w:hint="eastAsia"/>
          <w:lang w:val="en-US" w:eastAsia="zh-CN"/>
        </w:rPr>
        <w:t>的政府投资</w:t>
      </w:r>
      <w:r>
        <w:rPr>
          <w:rFonts w:hint="default"/>
          <w:lang w:eastAsia="zh-CN"/>
        </w:rPr>
        <w:t>和支出</w:t>
      </w:r>
      <w:r>
        <w:rPr>
          <w:rFonts w:hint="eastAsia"/>
          <w:lang w:val="en-US" w:eastAsia="zh-CN"/>
        </w:rPr>
        <w:t>可最大程度平滑经济波动，</w:t>
      </w:r>
      <w:r>
        <w:rPr>
          <w:rFonts w:hint="default"/>
          <w:lang w:eastAsia="zh-CN"/>
        </w:rPr>
        <w:t>最大程度挖掘</w:t>
      </w:r>
      <w:r>
        <w:rPr>
          <w:rFonts w:hint="eastAsia"/>
          <w:lang w:val="en-US" w:eastAsia="zh-CN"/>
        </w:rPr>
        <w:t>经济增长潜力，</w:t>
      </w:r>
      <w:r>
        <w:rPr>
          <w:rFonts w:hint="default"/>
          <w:lang w:eastAsia="zh-CN"/>
        </w:rPr>
        <w:t>最大程度</w:t>
      </w:r>
      <w:r>
        <w:rPr>
          <w:rFonts w:hint="eastAsia"/>
          <w:lang w:val="en-US" w:eastAsia="zh-CN"/>
        </w:rPr>
        <w:t>提高经济体禀赋和改善民众生活。</w:t>
      </w:r>
    </w:p>
    <w:p>
      <w:pPr>
        <w:numPr>
          <w:ilvl w:val="0"/>
          <w:numId w:val="6"/>
        </w:numPr>
        <w:ind w:left="0" w:leftChars="0" w:firstLine="420" w:firstLineChars="200"/>
        <w:rPr>
          <w:rFonts w:hint="eastAsia"/>
          <w:lang w:val="en-US" w:eastAsia="zh-CN"/>
        </w:rPr>
      </w:pPr>
      <w:r>
        <w:rPr>
          <w:rFonts w:hint="eastAsia"/>
          <w:lang w:val="en-US" w:eastAsia="zh-CN"/>
        </w:rPr>
        <w:t>贫富差距vs人民经济与共同富裕</w:t>
      </w:r>
    </w:p>
    <w:p>
      <w:pPr>
        <w:numPr>
          <w:ilvl w:val="0"/>
          <w:numId w:val="0"/>
        </w:numPr>
        <w:ind w:firstLine="420" w:firstLineChars="200"/>
        <w:rPr>
          <w:rFonts w:hint="default"/>
          <w:lang w:val="en-US" w:eastAsia="zh-CN"/>
        </w:rPr>
      </w:pPr>
      <w:r>
        <w:rPr>
          <w:rFonts w:hint="eastAsia"/>
          <w:lang w:val="en-US" w:eastAsia="zh-CN"/>
        </w:rPr>
        <w:t>新古典和凯恩斯</w:t>
      </w:r>
      <w:r>
        <w:rPr>
          <w:rFonts w:hint="default"/>
          <w:lang w:eastAsia="zh-CN"/>
        </w:rPr>
        <w:t>学派</w:t>
      </w:r>
      <w:r>
        <w:rPr>
          <w:rFonts w:hint="eastAsia"/>
          <w:lang w:val="en-US" w:eastAsia="zh-CN"/>
        </w:rPr>
        <w:t>模型，经济主体依市场博弈获得财富，贫富差距难以避免。本文模型政府</w:t>
      </w:r>
      <w:r>
        <w:rPr>
          <w:rFonts w:hint="default"/>
          <w:lang w:eastAsia="zh-CN"/>
        </w:rPr>
        <w:t>因</w:t>
      </w:r>
      <w:r>
        <w:rPr>
          <w:rFonts w:hint="eastAsia"/>
          <w:lang w:val="en-US" w:eastAsia="zh-CN"/>
        </w:rPr>
        <w:t>掌握货币发行而实证性掌握社会财富。政府</w:t>
      </w:r>
      <w:r>
        <w:rPr>
          <w:rFonts w:hint="default"/>
          <w:lang w:eastAsia="zh-CN"/>
        </w:rPr>
        <w:t>一</w:t>
      </w:r>
      <w:r>
        <w:rPr>
          <w:rFonts w:hint="eastAsia"/>
          <w:lang w:val="en-US" w:eastAsia="zh-CN"/>
        </w:rPr>
        <w:t>方面依市场博弈机制发挥经济主体积极性创造性，另一方面也通过政府支出</w:t>
      </w:r>
      <w:r>
        <w:rPr>
          <w:rFonts w:hint="default"/>
          <w:lang w:eastAsia="zh-CN"/>
        </w:rPr>
        <w:t>建设民生工程、实施</w:t>
      </w:r>
      <w:r>
        <w:rPr>
          <w:rFonts w:hint="eastAsia"/>
          <w:lang w:val="en-US" w:eastAsia="zh-CN"/>
        </w:rPr>
        <w:t>免费</w:t>
      </w:r>
      <w:r>
        <w:rPr>
          <w:rFonts w:hint="default"/>
          <w:lang w:eastAsia="zh-CN"/>
        </w:rPr>
        <w:t>教育</w:t>
      </w:r>
      <w:r>
        <w:rPr>
          <w:rFonts w:hint="eastAsia"/>
          <w:lang w:val="en-US" w:eastAsia="zh-CN"/>
        </w:rPr>
        <w:t>和</w:t>
      </w:r>
      <w:r>
        <w:rPr>
          <w:rFonts w:hint="default"/>
          <w:lang w:eastAsia="zh-CN"/>
        </w:rPr>
        <w:t>免费</w:t>
      </w:r>
      <w:r>
        <w:rPr>
          <w:rFonts w:hint="eastAsia"/>
          <w:lang w:val="en-US" w:eastAsia="zh-CN"/>
        </w:rPr>
        <w:t>医疗等改善民众生活水平</w:t>
      </w:r>
      <w:r>
        <w:rPr>
          <w:rFonts w:hint="default"/>
          <w:lang w:eastAsia="zh-CN"/>
        </w:rPr>
        <w:t>、</w:t>
      </w:r>
      <w:r>
        <w:rPr>
          <w:rFonts w:hint="eastAsia"/>
          <w:lang w:val="en-US" w:eastAsia="zh-CN"/>
        </w:rPr>
        <w:t>实现共同富裕。</w:t>
      </w:r>
    </w:p>
    <w:p>
      <w:pPr>
        <w:numPr>
          <w:ilvl w:val="0"/>
          <w:numId w:val="6"/>
        </w:numPr>
        <w:ind w:left="0" w:leftChars="0" w:firstLine="420" w:firstLineChars="200"/>
        <w:rPr>
          <w:rFonts w:hint="eastAsia"/>
          <w:lang w:val="en-US" w:eastAsia="zh-CN"/>
        </w:rPr>
      </w:pPr>
      <w:r>
        <w:rPr>
          <w:rFonts w:hint="eastAsia"/>
          <w:lang w:val="en-US" w:eastAsia="zh-CN"/>
        </w:rPr>
        <w:t>经济变量关系</w:t>
      </w:r>
      <w:r>
        <w:rPr>
          <w:rFonts w:hint="default"/>
          <w:lang w:eastAsia="zh-CN"/>
        </w:rPr>
        <w:t>研究</w:t>
      </w:r>
      <w:r>
        <w:rPr>
          <w:rFonts w:hint="eastAsia"/>
          <w:lang w:val="en-US" w:eastAsia="zh-CN"/>
        </w:rPr>
        <w:t>vs政府</w:t>
      </w:r>
      <w:r>
        <w:rPr>
          <w:rFonts w:hint="default"/>
          <w:lang w:eastAsia="zh-CN"/>
        </w:rPr>
        <w:t>政策</w:t>
      </w:r>
      <w:r>
        <w:rPr>
          <w:rFonts w:hint="eastAsia"/>
          <w:lang w:val="en-US" w:eastAsia="zh-CN"/>
        </w:rPr>
        <w:t>潜力</w:t>
      </w:r>
      <w:r>
        <w:rPr>
          <w:rFonts w:hint="default"/>
          <w:lang w:eastAsia="zh-CN"/>
        </w:rPr>
        <w:t>研究</w:t>
      </w:r>
    </w:p>
    <w:p>
      <w:pPr>
        <w:ind w:left="0" w:leftChars="0" w:firstLine="420" w:firstLineChars="200"/>
        <w:rPr>
          <w:rFonts w:hint="eastAsia" w:hAnsi="Cambria Math" w:cs="Times New Roman"/>
          <w:i w:val="0"/>
          <w:kern w:val="2"/>
          <w:sz w:val="21"/>
          <w:szCs w:val="24"/>
          <w:lang w:val="en-US" w:eastAsia="zh-CN" w:bidi="ar-SA"/>
        </w:rPr>
      </w:pPr>
      <w:r>
        <w:rPr>
          <w:rFonts w:hint="eastAsia"/>
          <w:lang w:val="en-US" w:eastAsia="zh-CN"/>
        </w:rPr>
        <w:t>新古典学派和凯恩斯学派认为市场经济存在</w:t>
      </w:r>
      <w:r>
        <w:rPr>
          <w:rFonts w:hint="default"/>
          <w:lang w:eastAsia="zh-CN"/>
        </w:rPr>
        <w:t>优化</w:t>
      </w:r>
      <w:r>
        <w:rPr>
          <w:rFonts w:hint="eastAsia"/>
          <w:lang w:val="en-US" w:eastAsia="zh-CN"/>
        </w:rPr>
        <w:t>均衡解，意味着经济变量之间存在</w:t>
      </w:r>
      <w:r>
        <w:rPr>
          <w:rFonts w:hint="default"/>
          <w:lang w:eastAsia="zh-CN"/>
        </w:rPr>
        <w:t>优化</w:t>
      </w:r>
      <w:r>
        <w:rPr>
          <w:rFonts w:hint="eastAsia"/>
          <w:lang w:val="en-US" w:eastAsia="zh-CN"/>
        </w:rPr>
        <w:t>逻辑关系，因此其研究重点在于寻找经济变量之间的关系。本文模型认为，市场经济</w:t>
      </w:r>
      <w:r>
        <w:rPr>
          <w:rFonts w:hint="default"/>
          <w:lang w:eastAsia="zh-CN"/>
        </w:rPr>
        <w:t>产出</w:t>
      </w:r>
      <w:r>
        <w:rPr>
          <w:rFonts w:hint="eastAsia"/>
          <w:lang w:val="en-US" w:eastAsia="zh-CN"/>
        </w:rPr>
        <w:t>是一个</w:t>
      </w:r>
      <w:r>
        <w:rPr>
          <w:rFonts w:hint="default" w:ascii="Cambria Math" w:hAnsi="Cambria Math" w:cs="Cambria Math"/>
          <w:b w:val="0"/>
          <w:bCs w:val="0"/>
          <w:i w:val="0"/>
          <w:iCs w:val="0"/>
          <w:sz w:val="21"/>
          <w:szCs w:val="21"/>
          <w:lang w:eastAsia="zh-CN"/>
        </w:rPr>
        <w:t>范围</w:t>
      </w:r>
      <m:oMath>
        <m:r>
          <m:rPr>
            <m:sty m:val="p"/>
          </m:rPr>
          <w:rPr>
            <w:rFonts w:hint="default" w:ascii="Cambria Math" w:hAnsi="Cambria Math" w:cs="Cambria Math"/>
            <w:sz w:val="21"/>
            <w:szCs w:val="21"/>
            <w:lang w:eastAsia="zh-CN"/>
          </w:rPr>
          <m:t xml:space="preserve"> </m:t>
        </m:r>
        <m:r>
          <m:rPr>
            <m:sty m:val="p"/>
          </m:rPr>
          <w:rPr>
            <w:rFonts w:hint="default" w:ascii="Cambria Math" w:hAnsi="Cambria Math" w:cs="Times New Roman"/>
            <w:kern w:val="2"/>
            <w:sz w:val="21"/>
            <w:szCs w:val="24"/>
            <w:lang w:val="en-US" w:eastAsia="zh-CN" w:bidi="ar-SA"/>
          </w:rPr>
          <m:t>y</m:t>
        </m:r>
        <m:r>
          <m:rPr>
            <m:sty m:val="p"/>
          </m:rPr>
          <w:rPr>
            <w:rFonts w:ascii="Cambria Math" w:hAnsi="Cambria Math" w:cs="Times New Roman"/>
            <w:kern w:val="2"/>
            <w:sz w:val="21"/>
            <w:szCs w:val="24"/>
            <w:lang w:val="en-US" w:bidi="ar-SA"/>
          </w:rPr>
          <m:t>∈</m:t>
        </m:r>
        <m:r>
          <m:rPr>
            <m:sty m:val="p"/>
          </m:rPr>
          <w:rPr>
            <w:rFonts w:hint="default" w:ascii="Cambria Math" w:hAnsi="Cambria Math" w:cs="Times New Roman"/>
            <w:kern w:val="2"/>
            <w:sz w:val="21"/>
            <w:szCs w:val="24"/>
            <w:lang w:val="en-US" w:eastAsia="zh-CN" w:bidi="ar-SA"/>
          </w:rPr>
          <m:t>(0,a)</m:t>
        </m:r>
      </m:oMath>
      <w:r>
        <w:rPr>
          <w:rFonts w:hint="eastAsia" w:hAnsi="Cambria Math" w:cs="Times New Roman"/>
          <w:i w:val="0"/>
          <w:kern w:val="2"/>
          <w:sz w:val="21"/>
          <w:szCs w:val="24"/>
          <w:lang w:val="en-US" w:eastAsia="zh-CN" w:bidi="ar-SA"/>
        </w:rPr>
        <w:t>. 这里y为不变价格社会产出，a为经济体禀赋</w:t>
      </w:r>
      <w:r>
        <w:rPr>
          <w:rFonts w:hint="default" w:hAnsi="Cambria Math" w:cs="Times New Roman"/>
          <w:i w:val="0"/>
          <w:kern w:val="2"/>
          <w:sz w:val="21"/>
          <w:szCs w:val="24"/>
          <w:lang w:eastAsia="zh-CN" w:bidi="ar-SA"/>
        </w:rPr>
        <w:t>，政府政策对经济产出有重要影响</w:t>
      </w:r>
      <w:r>
        <w:rPr>
          <w:rFonts w:hint="eastAsia" w:hAnsi="Cambria Math" w:cs="Times New Roman"/>
          <w:i w:val="0"/>
          <w:kern w:val="2"/>
          <w:sz w:val="21"/>
          <w:szCs w:val="24"/>
          <w:lang w:val="en-US" w:eastAsia="zh-CN" w:bidi="ar-SA"/>
        </w:rPr>
        <w:t>。因此，本</w:t>
      </w:r>
      <w:r>
        <w:rPr>
          <w:rFonts w:hint="default" w:hAnsi="Cambria Math" w:cs="Times New Roman"/>
          <w:i w:val="0"/>
          <w:kern w:val="2"/>
          <w:sz w:val="21"/>
          <w:szCs w:val="24"/>
          <w:lang w:eastAsia="zh-CN" w:bidi="ar-SA"/>
        </w:rPr>
        <w:t>文</w:t>
      </w:r>
      <w:r>
        <w:rPr>
          <w:rFonts w:hint="eastAsia" w:hAnsi="Cambria Math" w:cs="Times New Roman"/>
          <w:i w:val="0"/>
          <w:kern w:val="2"/>
          <w:sz w:val="21"/>
          <w:szCs w:val="24"/>
          <w:lang w:val="en-US" w:eastAsia="zh-CN" w:bidi="ar-SA"/>
        </w:rPr>
        <w:t>模型</w:t>
      </w:r>
      <w:r>
        <w:rPr>
          <w:rFonts w:hint="default" w:hAnsi="Cambria Math" w:cs="Times New Roman"/>
          <w:i w:val="0"/>
          <w:kern w:val="2"/>
          <w:sz w:val="21"/>
          <w:szCs w:val="24"/>
          <w:lang w:eastAsia="zh-CN" w:bidi="ar-SA"/>
        </w:rPr>
        <w:t>主张重点研究政府政策潜力，包括完善各类公平竞争制度和发挥政府投资和支出的最大潜力</w:t>
      </w:r>
      <w:r>
        <w:rPr>
          <w:rFonts w:hint="eastAsia" w:hAnsi="Cambria Math" w:cs="Times New Roman"/>
          <w:i w:val="0"/>
          <w:kern w:val="2"/>
          <w:sz w:val="21"/>
          <w:szCs w:val="24"/>
          <w:lang w:val="en-US" w:eastAsia="zh-CN" w:bidi="ar-SA"/>
        </w:rPr>
        <w:t>。</w:t>
      </w:r>
    </w:p>
    <w:p>
      <w:pPr>
        <w:numPr>
          <w:ilvl w:val="0"/>
          <w:numId w:val="6"/>
        </w:numPr>
        <w:ind w:left="0" w:leftChars="0" w:firstLine="420" w:firstLineChars="200"/>
      </w:pPr>
      <w:r>
        <w:rPr>
          <w:rFonts w:hint="eastAsia"/>
          <w:lang w:val="en-US" w:eastAsia="zh-CN"/>
        </w:rPr>
        <w:t>有为政府和有效政府的理论空间</w:t>
      </w:r>
    </w:p>
    <w:p>
      <w:pPr>
        <w:numPr>
          <w:ilvl w:val="0"/>
          <w:numId w:val="0"/>
        </w:numPr>
        <w:rPr>
          <w:rFonts w:hint="default"/>
          <w:lang w:eastAsia="zh-CN"/>
        </w:rPr>
      </w:pPr>
      <w:r>
        <w:rPr>
          <w:rFonts w:hint="eastAsia"/>
          <w:lang w:val="en-US" w:eastAsia="zh-CN"/>
        </w:rPr>
        <w:t xml:space="preserve">    </w:t>
      </w:r>
      <w:r>
        <w:rPr>
          <w:rFonts w:hint="default"/>
          <w:lang w:eastAsia="zh-CN"/>
        </w:rPr>
        <w:t>政府政策对经济产出的长期和短期都有重要影响是本文模型最重要的主张之一。政府政策对自由市场经济能有多大的改进空间，即有为政府和有效政府的理论空间有多大，这应该是经济理论研究最重要的方面之一。</w:t>
      </w:r>
    </w:p>
    <w:p>
      <w:pPr>
        <w:numPr>
          <w:ilvl w:val="0"/>
          <w:numId w:val="0"/>
        </w:numPr>
        <w:rPr>
          <w:rFonts w:hint="default"/>
          <w:lang w:eastAsia="zh-CN"/>
        </w:rPr>
      </w:pPr>
      <w:r>
        <w:rPr>
          <w:rFonts w:hint="default"/>
          <w:lang w:eastAsia="zh-CN"/>
        </w:rPr>
        <w:t xml:space="preserve">    过去四十多年中国和印度的经济实践表明，有为政府和有效政府的空间比较大。显然地，这还有进一步提高的空间，因为过去并没有从理论上意识到有为政府和有效政府</w:t>
      </w:r>
      <w:r>
        <w:rPr>
          <w:rFonts w:hint="eastAsia"/>
          <w:lang w:val="en-US" w:eastAsia="zh-CN"/>
        </w:rPr>
        <w:t>的</w:t>
      </w:r>
      <w:r>
        <w:rPr>
          <w:rFonts w:hint="default"/>
          <w:lang w:eastAsia="zh-CN"/>
        </w:rPr>
        <w:t>空间。</w:t>
      </w:r>
    </w:p>
    <w:p>
      <w:pPr>
        <w:numPr>
          <w:ilvl w:val="0"/>
          <w:numId w:val="0"/>
        </w:numPr>
        <w:rPr>
          <w:rFonts w:hint="default"/>
          <w:lang w:val="en-US" w:eastAsia="zh-CN"/>
        </w:rPr>
      </w:pPr>
      <w:r>
        <w:rPr>
          <w:rFonts w:hint="default"/>
          <w:lang w:eastAsia="zh-CN"/>
        </w:rPr>
        <w:t xml:space="preserve">    有为政府和有效政府的理论空间是社会主义市场经济比资本主义市场经济优越的量化指标。</w:t>
      </w:r>
    </w:p>
    <w:p>
      <w:pPr>
        <w:rPr>
          <w:rFonts w:hint="eastAsia" w:eastAsia="宋体" w:asciiTheme="minorEastAsia" w:hAnsiTheme="minorEastAsia" w:cstheme="minorEastAsia"/>
          <w:lang w:eastAsia="zh-CN"/>
        </w:rPr>
      </w:pPr>
      <w:r>
        <w:t>政府与市场的关系，有为政府和有效政府等问题国内众多经济学家有</w:t>
      </w:r>
      <w:r>
        <w:rPr>
          <w:rFonts w:hint="eastAsia"/>
          <w:lang w:val="en-US" w:eastAsia="zh-CN"/>
        </w:rPr>
        <w:t>很多</w:t>
      </w:r>
      <w:r>
        <w:t>论述</w:t>
      </w:r>
      <w:r>
        <w:fldChar w:fldCharType="begin">
          <w:fldData xml:space="preserve">PEVuZE5vdGU+PENpdGU+PEF1dGhvcj7mnpfmr4XlpKs8L0F1dGhvcj48WWVhcj4yMDExPC9ZZWFy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</w:fldData>
        </w:fldChar>
      </w:r>
      <w:r>
        <w:instrText xml:space="preserve"> ADDIN EN.CITE </w:instrText>
      </w:r>
      <w:r>
        <w:fldChar w:fldCharType="begin">
          <w:fldData xml:space="preserve">PEVuZE5vdGU+PENpdGU+PEF1dGhvcj7mnpfmr4XlpKs8L0F1dGhvcj48WWVhcj4yMDExPC9ZZWFy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</w:fldData>
        </w:fldChar>
      </w:r>
      <w:r>
        <w:instrText xml:space="preserve"> ADDIN EN.CITE.DATA </w:instrText>
      </w:r>
      <w:r>
        <w:fldChar w:fldCharType="end"/>
      </w:r>
      <w:r>
        <w:fldChar w:fldCharType="separate"/>
      </w:r>
      <w:r>
        <w:t>(林毅夫, 2011, 2014; 田国强, 2016, 2017)</w:t>
      </w:r>
      <w:r>
        <w:fldChar w:fldCharType="end"/>
      </w:r>
      <w:r>
        <w:rPr>
          <w:rFonts w:hint="eastAsia"/>
          <w:lang w:eastAsia="zh-CN"/>
        </w:rPr>
        <w:t>。</w:t>
      </w:r>
    </w:p>
    <w:p>
      <w:pPr>
        <w:ind w:firstLine="0" w:firstLineChars="0"/>
      </w:pPr>
    </w:p>
    <w:p>
      <w:pPr>
        <w:pStyle w:val="2"/>
      </w:pPr>
      <w:r>
        <w:rPr>
          <w:rFonts w:hint="eastAsia"/>
        </w:rPr>
        <w:t>五、模型检验</w:t>
      </w:r>
    </w:p>
    <w:p>
      <w:r>
        <w:t>（一）</w:t>
      </w:r>
      <w:r>
        <w:rPr>
          <w:rFonts w:hint="eastAsia"/>
          <w:lang w:val="en-US" w:eastAsia="zh-CN"/>
        </w:rPr>
        <w:t>经济理论</w:t>
      </w:r>
      <w:r>
        <w:rPr>
          <w:rFonts w:hint="eastAsia"/>
        </w:rPr>
        <w:t>微观</w:t>
      </w:r>
      <w:r>
        <w:rPr>
          <w:rFonts w:hint="eastAsia"/>
          <w:lang w:val="en-US" w:eastAsia="zh-CN"/>
        </w:rPr>
        <w:t>基础数学</w:t>
      </w:r>
      <w:r>
        <w:rPr>
          <w:rFonts w:hint="eastAsia"/>
        </w:rPr>
        <w:t>模型为宏观</w:t>
      </w:r>
      <w:r>
        <w:rPr>
          <w:rFonts w:hint="eastAsia"/>
          <w:lang w:val="en-US" w:eastAsia="zh-CN"/>
        </w:rPr>
        <w:t>基础数学</w:t>
      </w:r>
      <w:r>
        <w:rPr>
          <w:rFonts w:hint="eastAsia"/>
        </w:rPr>
        <w:t>模型提供方向性指引</w:t>
      </w:r>
    </w:p>
    <w:p>
      <w:r>
        <w:t xml:space="preserve">1. </w:t>
      </w:r>
      <w:r>
        <w:rPr>
          <w:rFonts w:hint="eastAsia"/>
        </w:rPr>
        <w:t>三种经济学</w:t>
      </w:r>
    </w:p>
    <w:p>
      <w:r>
        <w:rPr>
          <w:rFonts w:hint="eastAsia"/>
        </w:rPr>
        <w:t>依据不同的研究视角，我们把经济学分为微观经济学和宏观经济学。微观经济学研究单个经济主体的整体性经济行为，宏观经济学研究经济体的总量行为。从完整性的角度看，还存在研究单个经济主体边际行为的经济学，本文称之为边际经济学。因此，依据对经济主体的即时行为</w:t>
      </w:r>
      <w:r>
        <w:rPr>
          <w:rFonts w:hint="eastAsia" w:ascii="微软雅黑" w:hAnsi="微软雅黑" w:eastAsia="微软雅黑" w:cs="微软雅黑"/>
        </w:rPr>
        <w:t>、</w:t>
      </w:r>
      <w:r>
        <w:rPr>
          <w:rFonts w:hint="eastAsia"/>
        </w:rPr>
        <w:t>完整行为和集合行为的研究分类，经济学可分为边际经济学</w:t>
      </w:r>
      <w:r>
        <w:rPr>
          <w:rFonts w:hint="eastAsia" w:ascii="微软雅黑" w:hAnsi="微软雅黑" w:eastAsia="微软雅黑" w:cs="微软雅黑"/>
        </w:rPr>
        <w:t>、</w:t>
      </w:r>
      <w:r>
        <w:rPr>
          <w:rFonts w:hint="eastAsia"/>
        </w:rPr>
        <w:t>微观经济学和宏观经济学三种。</w:t>
      </w:r>
    </w:p>
    <w:p>
      <w:pPr>
        <w:rPr>
          <w:rFonts w:hint="default"/>
        </w:rPr>
      </w:pPr>
      <w:r>
        <w:rPr>
          <w:rFonts w:hint="eastAsia"/>
        </w:rPr>
        <w:t>2</w:t>
      </w:r>
      <w:r>
        <w:t xml:space="preserve">. </w:t>
      </w:r>
      <w:r>
        <w:rPr>
          <w:rFonts w:hint="eastAsia"/>
          <w:lang w:val="en-US" w:eastAsia="zh-CN"/>
        </w:rPr>
        <w:t>经济理论</w:t>
      </w:r>
      <w:r>
        <w:rPr>
          <w:rFonts w:hint="eastAsia"/>
        </w:rPr>
        <w:t>微观</w:t>
      </w:r>
      <w:r>
        <w:rPr>
          <w:rFonts w:hint="eastAsia"/>
          <w:lang w:val="en-US" w:eastAsia="zh-CN"/>
        </w:rPr>
        <w:t>基础数学</w:t>
      </w:r>
      <w:r>
        <w:rPr>
          <w:rFonts w:hint="eastAsia"/>
        </w:rPr>
        <w:t>模型因效用无法计量而无法</w:t>
      </w:r>
      <w:r>
        <w:rPr>
          <w:rFonts w:hint="default"/>
        </w:rPr>
        <w:t>实证检验</w:t>
      </w:r>
    </w:p>
    <w:p>
      <w:r>
        <w:rPr>
          <w:rFonts w:hint="eastAsia"/>
        </w:rPr>
        <w:t>无论是新古典学派</w:t>
      </w:r>
      <w:r>
        <w:rPr>
          <w:rFonts w:hint="eastAsia"/>
          <w:lang w:val="en-US" w:eastAsia="zh-CN"/>
        </w:rPr>
        <w:t>微观基础数学模型</w:t>
      </w:r>
      <w:r>
        <w:rPr>
          <w:rFonts w:hint="eastAsia"/>
        </w:rPr>
        <w:t>阿罗-德布鲁的一般均衡数学模型，还是本文</w:t>
      </w:r>
      <w:r>
        <w:rPr>
          <w:rFonts w:hint="eastAsia"/>
          <w:lang w:val="en-US" w:eastAsia="zh-CN"/>
        </w:rPr>
        <w:t>社会主义市场经济理论微观基础数学模型</w:t>
      </w:r>
      <w:r>
        <w:rPr>
          <w:rFonts w:hint="eastAsia"/>
        </w:rPr>
        <w:t>关于市场经济三个基本规律假设，都涉及商品的效用。效用是经济主体对商品使用价值的一种排序，无法测量和计量</w:t>
      </w:r>
      <w:r>
        <w:rPr>
          <w:rFonts w:hint="eastAsia"/>
          <w:lang w:eastAsia="zh-CN"/>
        </w:rPr>
        <w:t>（</w:t>
      </w:r>
      <w:r>
        <w:t xml:space="preserve">Samuelson, P. A., and Nordhaus, W. D. </w:t>
      </w:r>
      <w:r>
        <w:rPr>
          <w:rFonts w:hint="eastAsia"/>
          <w:lang w:eastAsia="zh-CN"/>
        </w:rPr>
        <w:t>，</w:t>
      </w:r>
      <w:r>
        <w:t>2012).</w:t>
      </w:r>
      <w:r>
        <w:rPr>
          <w:rFonts w:hint="eastAsia"/>
        </w:rPr>
        <w:t>。微观经济学因效用无法计量而无法实证</w:t>
      </w:r>
      <w:r>
        <w:rPr>
          <w:rFonts w:hint="default"/>
        </w:rPr>
        <w:t>检验</w:t>
      </w:r>
      <w:r>
        <w:rPr>
          <w:rFonts w:hint="eastAsia"/>
        </w:rPr>
        <w:t>。</w:t>
      </w:r>
    </w:p>
    <w:p>
      <w:r>
        <w:rPr>
          <w:rFonts w:hint="eastAsia"/>
        </w:rPr>
        <w:t>3</w:t>
      </w:r>
      <w:r>
        <w:t xml:space="preserve">. </w:t>
      </w:r>
      <w:r>
        <w:rPr>
          <w:rFonts w:hint="eastAsia"/>
        </w:rPr>
        <w:t>微观经济学模型主要为构建宏观经济学模型提供方向性指引</w:t>
      </w:r>
    </w:p>
    <w:p>
      <w:r>
        <w:rPr>
          <w:rFonts w:hint="eastAsia"/>
        </w:rPr>
        <w:t>微观经济学模型主要为构建宏观经济学模型提供方向性指引。比如新古典学派认为市场经济存在一般均衡，其宏观经济学模型以均衡为基础就是逻辑自洽的。再比如本文认为商品生产和投资品商品交换不存在竞争性均衡，因而本文提出的宏观经济学模型没有均衡也是逻辑自洽的。</w:t>
      </w:r>
    </w:p>
    <w:p>
      <w:r>
        <w:t>（</w:t>
      </w:r>
      <w:r>
        <w:rPr>
          <w:rFonts w:hint="eastAsia"/>
        </w:rPr>
        <w:t>二</w:t>
      </w:r>
      <w:r>
        <w:t>）</w:t>
      </w:r>
      <w:r>
        <w:rPr>
          <w:rFonts w:hint="eastAsia"/>
        </w:rPr>
        <w:t>审慎对待宏观经济学数学模型的</w:t>
      </w:r>
      <w:r>
        <w:rPr>
          <w:rFonts w:hint="eastAsia"/>
          <w:lang w:val="en-US" w:eastAsia="zh-CN"/>
        </w:rPr>
        <w:t>定量</w:t>
      </w:r>
      <w:r>
        <w:rPr>
          <w:rFonts w:hint="eastAsia"/>
        </w:rPr>
        <w:t>实证</w:t>
      </w:r>
    </w:p>
    <w:p>
      <w:r>
        <w:t xml:space="preserve">1. </w:t>
      </w:r>
      <w:r>
        <w:rPr>
          <w:rFonts w:hint="eastAsia"/>
        </w:rPr>
        <w:t>索洛</w:t>
      </w:r>
      <w:r>
        <w:rPr>
          <w:rFonts w:hint="eastAsia"/>
          <w:lang w:val="en-US" w:eastAsia="zh-CN"/>
        </w:rPr>
        <w:t>经济增长</w:t>
      </w:r>
      <w:r>
        <w:rPr>
          <w:rFonts w:hint="eastAsia"/>
        </w:rPr>
        <w:t>模型的</w:t>
      </w:r>
      <w:r>
        <w:rPr>
          <w:rFonts w:hint="eastAsia"/>
          <w:lang w:val="en-US" w:eastAsia="zh-CN"/>
        </w:rPr>
        <w:t>定量</w:t>
      </w:r>
      <w:r>
        <w:rPr>
          <w:rFonts w:hint="eastAsia"/>
        </w:rPr>
        <w:t>实证遭遇系统性误差</w:t>
      </w:r>
    </w:p>
    <w:p>
      <w:pPr>
        <w:ind w:firstLine="0" w:firstLineChars="0"/>
      </w:pPr>
      <w:r>
        <w:rPr>
          <w:rFonts w:hint="eastAsia"/>
        </w:rPr>
        <w:t xml:space="preserve">    索洛</w:t>
      </w:r>
      <w:r>
        <w:rPr>
          <w:rFonts w:hint="eastAsia"/>
          <w:lang w:val="en-US" w:eastAsia="zh-CN"/>
        </w:rPr>
        <w:t>经济增长</w:t>
      </w:r>
      <w:r>
        <w:rPr>
          <w:rFonts w:hint="eastAsia"/>
        </w:rPr>
        <w:t>模型的生产函数方程为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03"/>
        <w:gridCol w:w="859"/>
        <w:gridCol w:w="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03" w:type="dxa"/>
            <w:vAlign w:val="center"/>
          </w:tcPr>
          <w:p>
            <w:pPr>
              <w:ind w:firstLine="0" w:firstLineChars="0"/>
              <w:jc w:val="center"/>
            </w:pPr>
            <w:r>
              <w:rPr>
                <w:szCs w:val="21"/>
              </w:rPr>
              <w:t xml:space="preserve">   </w:t>
            </w:r>
            <w:r>
              <w:rPr>
                <w:rFonts w:hint="eastAsia"/>
                <w:szCs w:val="21"/>
              </w:rPr>
              <w:t>Y=f(K,L)</w:t>
            </w:r>
          </w:p>
        </w:tc>
        <w:tc>
          <w:tcPr>
            <w:tcW w:w="859" w:type="dxa"/>
            <w:vAlign w:val="center"/>
          </w:tcPr>
          <w:p>
            <w:pPr>
              <w:ind w:firstLine="0" w:firstLineChars="0"/>
              <w:jc w:val="right"/>
            </w:pPr>
            <w:r>
              <w:t>(</w:t>
            </w:r>
            <w:r>
              <w:rPr>
                <w:rFonts w:hint="eastAsia"/>
              </w:rPr>
              <w:t>5</w:t>
            </w:r>
            <w:r>
              <w:t>-</w:t>
            </w:r>
            <w:r>
              <w:rPr>
                <w:rFonts w:hint="eastAsia"/>
              </w:rPr>
              <w:t>1</w:t>
            </w:r>
            <w:r>
              <w:t>)</w:t>
            </w:r>
          </w:p>
        </w:tc>
        <w:tc>
          <w:tcPr>
            <w:tcW w:w="859" w:type="dxa"/>
            <w:vAlign w:val="center"/>
          </w:tcPr>
          <w:p>
            <w:pPr>
              <w:ind w:firstLine="0" w:firstLineChars="0"/>
              <w:jc w:val="right"/>
            </w:pPr>
          </w:p>
        </w:tc>
      </w:tr>
    </w:tbl>
    <w:p>
      <w:pPr>
        <w:rPr>
          <w:rFonts w:asciiTheme="minorEastAsia" w:hAnsiTheme="minorEastAsia" w:eastAsiaTheme="minorEastAsia" w:cstheme="minorEastAsia"/>
          <w:color w:val="000000"/>
          <w:lang w:bidi="en-US"/>
        </w:rPr>
      </w:pPr>
      <w:r>
        <w:rPr>
          <w:rFonts w:hint="eastAsia"/>
        </w:rPr>
        <w:t>式（5-1）中，Y为不变价格社会产出，K为社会资本积累，L为劳动力。按式（5-1）的含义，K</w:t>
      </w:r>
      <w:r>
        <w:rPr>
          <w:rFonts w:hint="eastAsia"/>
          <w:lang w:val="en-US" w:eastAsia="zh-CN"/>
        </w:rPr>
        <w:t>应</w:t>
      </w:r>
      <w:r>
        <w:rPr>
          <w:rFonts w:hint="eastAsia"/>
        </w:rPr>
        <w:t>为交易法估值，L</w:t>
      </w:r>
      <w:r>
        <w:rPr>
          <w:rFonts w:hint="eastAsia"/>
          <w:lang w:val="en-US" w:eastAsia="zh-CN"/>
        </w:rPr>
        <w:t>应考虑人口劳动技能差异</w:t>
      </w:r>
      <w:r>
        <w:rPr>
          <w:rFonts w:hint="eastAsia"/>
        </w:rPr>
        <w:t>。</w:t>
      </w:r>
      <w:r>
        <w:rPr>
          <w:rFonts w:hint="eastAsia" w:asciiTheme="minorEastAsia" w:hAnsiTheme="minorEastAsia" w:eastAsiaTheme="minorEastAsia" w:cstheme="minorEastAsia"/>
          <w:color w:val="000000"/>
          <w:lang w:bidi="en-US"/>
        </w:rPr>
        <w:t>索洛</w:t>
      </w:r>
      <w:r>
        <w:rPr>
          <w:rFonts w:hint="eastAsia" w:asciiTheme="minorEastAsia" w:hAnsiTheme="minorEastAsia" w:eastAsiaTheme="minorEastAsia" w:cstheme="minorEastAsia"/>
          <w:color w:val="000000"/>
          <w:lang w:val="en-US" w:eastAsia="zh-CN" w:bidi="en-US"/>
        </w:rPr>
        <w:t>用成本估算的统计数据</w:t>
      </w:r>
      <w:r>
        <w:rPr>
          <w:rFonts w:hint="eastAsia" w:asciiTheme="minorEastAsia" w:hAnsiTheme="minorEastAsia" w:eastAsiaTheme="minorEastAsia" w:cstheme="minorEastAsia"/>
          <w:color w:val="000000"/>
          <w:lang w:bidi="en-US"/>
        </w:rPr>
        <w:t>对式（5-1）的实证表明，资本积累数量K和劳动力数量L对生产函数Y的解释不到12.5%，而不明原因对生产函数Y的解释达87.5%（Solow，1957）。索洛把这个不明原因解释为科学与技术变化，即知识的变化。如果按收益法估算资本积累K和劳动力L,则知识的变化可以包含在资本积累K和劳动力L中，这意味着索洛余值87.5%实质上是资本积累K和劳动力L成本法估算与收益法估算的系统性误差。</w:t>
      </w:r>
    </w:p>
    <w:p>
      <w:pPr>
        <w:numPr>
          <w:ilvl w:val="0"/>
          <w:numId w:val="7"/>
        </w:numPr>
      </w:pPr>
      <w:r>
        <w:rPr>
          <w:rFonts w:hint="eastAsia"/>
        </w:rPr>
        <w:t>希克斯</w:t>
      </w:r>
      <w:r>
        <w:rPr>
          <w:rFonts w:hint="eastAsia"/>
          <w:lang w:val="en-US" w:eastAsia="zh-CN"/>
        </w:rPr>
        <w:t>IS-LM</w:t>
      </w:r>
      <w:r>
        <w:rPr>
          <w:rFonts w:hint="eastAsia"/>
        </w:rPr>
        <w:t>模型难以</w:t>
      </w:r>
      <w:r>
        <w:rPr>
          <w:rFonts w:hint="eastAsia"/>
          <w:lang w:val="en-US" w:eastAsia="zh-CN"/>
        </w:rPr>
        <w:t>定量</w:t>
      </w:r>
      <w:r>
        <w:rPr>
          <w:rFonts w:hint="eastAsia"/>
        </w:rPr>
        <w:t>实证</w:t>
      </w:r>
    </w:p>
    <w:p>
      <w:pPr>
        <w:ind w:firstLine="0" w:firstLineChars="0"/>
      </w:pPr>
      <w:r>
        <w:rPr>
          <w:rFonts w:hint="eastAsia"/>
        </w:rPr>
        <w:t xml:space="preserve">    希克斯IS-LM模型经济变量的计量同样面临索洛模型成本法估算与收益法估算的系统性误差。除此之外，希克斯模型还面临市场利率与均衡利率的偏差。这意味着希克斯IS-LM宏观经济理论数学模型难以</w:t>
      </w:r>
      <w:r>
        <w:rPr>
          <w:rFonts w:hint="eastAsia"/>
          <w:lang w:val="en-US" w:eastAsia="zh-CN"/>
        </w:rPr>
        <w:t>定量</w:t>
      </w:r>
      <w:r>
        <w:rPr>
          <w:rFonts w:hint="eastAsia"/>
        </w:rPr>
        <w:t>实证。</w:t>
      </w:r>
    </w:p>
    <w:p>
      <w:pPr>
        <w:numPr>
          <w:ilvl w:val="0"/>
          <w:numId w:val="7"/>
        </w:numPr>
      </w:pPr>
      <w:r>
        <w:rPr>
          <w:rFonts w:hint="eastAsia"/>
        </w:rPr>
        <w:t>审慎对待宏观经济学数学模型的</w:t>
      </w:r>
      <w:r>
        <w:rPr>
          <w:rFonts w:hint="eastAsia"/>
          <w:lang w:val="en-US" w:eastAsia="zh-CN"/>
        </w:rPr>
        <w:t>定量</w:t>
      </w:r>
      <w:r>
        <w:rPr>
          <w:rFonts w:hint="eastAsia"/>
        </w:rPr>
        <w:t>实证</w:t>
      </w:r>
    </w:p>
    <w:p>
      <w:r>
        <w:rPr>
          <w:rFonts w:hint="eastAsia" w:asciiTheme="minorEastAsia" w:hAnsiTheme="minorEastAsia" w:eastAsiaTheme="minorEastAsia" w:cstheme="minorEastAsia"/>
          <w:color w:val="000000"/>
          <w:lang w:bidi="en-US"/>
        </w:rPr>
        <w:t>现实经济统计数据基本是成本法估算，经济理论数学模型的经济变量基本是收益法估算</w:t>
      </w:r>
      <w:r>
        <w:rPr>
          <w:rFonts w:hint="eastAsia" w:asciiTheme="minorEastAsia" w:hAnsiTheme="minorEastAsia" w:eastAsiaTheme="minorEastAsia" w:cstheme="minorEastAsia"/>
          <w:color w:val="000000"/>
          <w:lang w:val="en-US" w:eastAsia="zh-CN" w:bidi="en-US"/>
        </w:rPr>
        <w:t>含义</w:t>
      </w:r>
      <w:r>
        <w:rPr>
          <w:rFonts w:hint="eastAsia" w:asciiTheme="minorEastAsia" w:hAnsiTheme="minorEastAsia" w:eastAsiaTheme="minorEastAsia" w:cstheme="minorEastAsia"/>
          <w:color w:val="000000"/>
          <w:lang w:bidi="en-US"/>
        </w:rPr>
        <w:t>，这两者的系统性误差难以避免。鉴于索洛经济增长模型的资本积累K和劳动力L的成本法估算与收益法估算系统性误差达87.5%，本文主张审</w:t>
      </w:r>
      <w:r>
        <w:rPr>
          <w:rFonts w:hint="eastAsia"/>
        </w:rPr>
        <w:t>慎对待宏观经济学数学模型的</w:t>
      </w:r>
      <w:r>
        <w:rPr>
          <w:rFonts w:hint="eastAsia"/>
          <w:lang w:val="en-US" w:eastAsia="zh-CN"/>
        </w:rPr>
        <w:t>定量</w:t>
      </w:r>
      <w:r>
        <w:rPr>
          <w:rFonts w:hint="eastAsia"/>
        </w:rPr>
        <w:t>实证。</w:t>
      </w:r>
    </w:p>
    <w:p>
      <w:pPr>
        <w:numPr>
          <w:ilvl w:val="0"/>
          <w:numId w:val="3"/>
        </w:numPr>
      </w:pPr>
      <w:r>
        <w:rPr>
          <w:rFonts w:hint="eastAsia"/>
        </w:rPr>
        <w:t>宏观经济数学模型须经受定性证伪检验</w:t>
      </w:r>
    </w:p>
    <w:p>
      <w:pPr>
        <w:ind w:firstLine="0" w:firstLineChars="0"/>
      </w:pPr>
      <w:r>
        <w:rPr>
          <w:rFonts w:hint="eastAsia"/>
        </w:rPr>
        <w:t xml:space="preserve">     由于经济变量的成本法估算与收益法估算存在系统性误差，用统计经济数据对宏观经济理论数学模型做</w:t>
      </w:r>
      <w:r>
        <w:rPr>
          <w:rFonts w:hint="eastAsia"/>
          <w:lang w:val="en-US" w:eastAsia="zh-CN"/>
        </w:rPr>
        <w:t>定量</w:t>
      </w:r>
      <w:r>
        <w:rPr>
          <w:rFonts w:hint="eastAsia"/>
        </w:rPr>
        <w:t>实证难以避免系统性误差。但宏观经济理论数学模型仍需经受定性证伪检验。比如索洛经济增长模型和希克斯IS-LM模型都认为市场经济能实现均衡，即稳定优化解，但英国1921年至1939年长达19年的时间失业率维持在10%以上，即不存在稳定优化解。这个数据证</w:t>
      </w:r>
      <w:r>
        <w:rPr>
          <w:rFonts w:hint="eastAsia"/>
          <w:lang w:val="en-US" w:eastAsia="zh-CN"/>
        </w:rPr>
        <w:t>构成对</w:t>
      </w:r>
      <w:r>
        <w:rPr>
          <w:rFonts w:hint="eastAsia"/>
        </w:rPr>
        <w:t>新古典学派和凯恩斯学派的宏观</w:t>
      </w:r>
      <w:r>
        <w:rPr>
          <w:rFonts w:hint="eastAsia"/>
          <w:lang w:val="en-US" w:eastAsia="zh-CN"/>
        </w:rPr>
        <w:t>基础</w:t>
      </w:r>
      <w:r>
        <w:rPr>
          <w:rFonts w:hint="eastAsia"/>
        </w:rPr>
        <w:t>数学模型</w:t>
      </w:r>
      <w:r>
        <w:rPr>
          <w:rFonts w:hint="eastAsia"/>
          <w:lang w:val="en-US" w:eastAsia="zh-CN"/>
        </w:rPr>
        <w:t>的证伪</w:t>
      </w:r>
      <w:r>
        <w:rPr>
          <w:rFonts w:hint="eastAsia"/>
        </w:rPr>
        <w:t>。</w:t>
      </w:r>
    </w:p>
    <w:p>
      <w:r>
        <w:t>（</w:t>
      </w:r>
      <w:r>
        <w:rPr>
          <w:rFonts w:hint="eastAsia"/>
        </w:rPr>
        <w:t>四</w:t>
      </w:r>
      <w:r>
        <w:t>）</w:t>
      </w:r>
      <w:r>
        <w:rPr>
          <w:rFonts w:hint="eastAsia"/>
        </w:rPr>
        <w:t>经济学界主流实证检验的逻辑假设过强</w:t>
      </w:r>
    </w:p>
    <w:p>
      <w:pPr>
        <w:rPr>
          <w:rFonts w:asciiTheme="minorEastAsia" w:hAnsiTheme="minorEastAsia" w:eastAsiaTheme="minorEastAsia" w:cstheme="minorEastAsia"/>
          <w:color w:val="000000"/>
          <w:lang w:bidi="en-US"/>
        </w:rPr>
      </w:pPr>
      <w:r>
        <w:rPr>
          <w:rFonts w:hint="eastAsia" w:asciiTheme="minorEastAsia" w:hAnsiTheme="minorEastAsia" w:eastAsiaTheme="minorEastAsia" w:cstheme="minorEastAsia"/>
          <w:color w:val="000000"/>
          <w:lang w:bidi="en-US"/>
        </w:rPr>
        <w:t>经济学界主流实证检验方法是用时间序列数据对提出的逻辑假设做实证检验，下面用两个解释变量和一个被解释变量的线性回归实证检验做具体说明。首先假设被解释变量Y与解释变量L、K之间存在下列关系（Douglas,1976）：</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03"/>
        <w:gridCol w:w="859"/>
        <w:gridCol w:w="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03" w:type="dxa"/>
            <w:vAlign w:val="center"/>
          </w:tcPr>
          <w:p>
            <w:pPr>
              <w:ind w:firstLine="0" w:firstLineChars="0"/>
              <w:jc w:val="center"/>
            </w:pPr>
            <w:r>
              <w:rPr>
                <w:szCs w:val="21"/>
              </w:rPr>
              <w:t xml:space="preserve">   </w:t>
            </w:r>
            <w:r>
              <w:rPr>
                <w:rFonts w:hint="eastAsia"/>
                <w:szCs w:val="21"/>
              </w:rPr>
              <w:t>Y=b</w:t>
            </w:r>
            <m:oMath>
              <m:sSup>
                <m:sSupPr>
                  <m:ctrlPr>
                    <w:rPr>
                      <w:rFonts w:ascii="Cambria Math" w:hAnsi="Cambria Math"/>
                      <w:i/>
                      <w:szCs w:val="21"/>
                    </w:rPr>
                  </m:ctrlPr>
                </m:sSupPr>
                <m:e>
                  <m:r>
                    <m:rPr/>
                    <w:rPr>
                      <w:rFonts w:ascii="Cambria Math" w:hAnsi="Cambria Math"/>
                      <w:szCs w:val="21"/>
                    </w:rPr>
                    <m:t>L</m:t>
                  </m:r>
                  <m:ctrlPr>
                    <w:rPr>
                      <w:rFonts w:ascii="Cambria Math" w:hAnsi="Cambria Math"/>
                      <w:i/>
                      <w:szCs w:val="21"/>
                    </w:rPr>
                  </m:ctrlPr>
                </m:e>
                <m:sup>
                  <m:r>
                    <m:rPr/>
                    <w:rPr>
                      <w:rFonts w:ascii="Cambria Math" w:hAnsi="Cambria Math"/>
                      <w:szCs w:val="21"/>
                    </w:rPr>
                    <m:t>α</m:t>
                  </m:r>
                  <m:ctrlPr>
                    <w:rPr>
                      <w:rFonts w:ascii="Cambria Math" w:hAnsi="Cambria Math"/>
                      <w:i/>
                      <w:szCs w:val="21"/>
                    </w:rPr>
                  </m:ctrlPr>
                </m:sup>
              </m:sSup>
              <m:sSup>
                <m:sSupPr>
                  <m:ctrlPr>
                    <w:rPr>
                      <w:rFonts w:ascii="Cambria Math" w:hAnsi="Cambria Math"/>
                      <w:i/>
                      <w:szCs w:val="21"/>
                    </w:rPr>
                  </m:ctrlPr>
                </m:sSupPr>
                <m:e>
                  <m:r>
                    <m:rPr/>
                    <w:rPr>
                      <w:rFonts w:ascii="Cambria Math" w:hAnsi="Cambria Math"/>
                      <w:szCs w:val="21"/>
                    </w:rPr>
                    <m:t>K</m:t>
                  </m:r>
                  <m:ctrlPr>
                    <w:rPr>
                      <w:rFonts w:ascii="Cambria Math" w:hAnsi="Cambria Math"/>
                      <w:i/>
                      <w:szCs w:val="21"/>
                    </w:rPr>
                  </m:ctrlPr>
                </m:e>
                <m:sup>
                  <m:r>
                    <m:rPr/>
                    <w:rPr>
                      <w:rFonts w:ascii="Cambria Math" w:hAnsi="Cambria Math"/>
                      <w:szCs w:val="21"/>
                    </w:rPr>
                    <m:t>(1−α)</m:t>
                  </m:r>
                  <m:ctrlPr>
                    <w:rPr>
                      <w:rFonts w:ascii="Cambria Math" w:hAnsi="Cambria Math"/>
                      <w:i/>
                      <w:szCs w:val="21"/>
                    </w:rPr>
                  </m:ctrlPr>
                </m:sup>
              </m:sSup>
            </m:oMath>
          </w:p>
        </w:tc>
        <w:tc>
          <w:tcPr>
            <w:tcW w:w="859" w:type="dxa"/>
            <w:vAlign w:val="center"/>
          </w:tcPr>
          <w:p>
            <w:pPr>
              <w:ind w:firstLine="0" w:firstLineChars="0"/>
              <w:jc w:val="right"/>
            </w:pPr>
            <w:r>
              <w:t>(</w:t>
            </w:r>
            <w:r>
              <w:rPr>
                <w:rFonts w:hint="eastAsia"/>
              </w:rPr>
              <w:t>5</w:t>
            </w:r>
            <w:r>
              <w:t>-</w:t>
            </w:r>
            <w:r>
              <w:rPr>
                <w:rFonts w:hint="eastAsia"/>
              </w:rPr>
              <w:t>2</w:t>
            </w:r>
            <w:r>
              <w:t>)</w:t>
            </w:r>
          </w:p>
        </w:tc>
        <w:tc>
          <w:tcPr>
            <w:tcW w:w="859" w:type="dxa"/>
            <w:vAlign w:val="center"/>
          </w:tcPr>
          <w:p>
            <w:pPr>
              <w:ind w:firstLine="0" w:firstLineChars="0"/>
              <w:jc w:val="right"/>
            </w:pPr>
          </w:p>
        </w:tc>
      </w:tr>
    </w:tbl>
    <w:p>
      <w:pPr>
        <w:ind w:firstLine="0" w:firstLineChars="0"/>
        <w:rPr>
          <w:rFonts w:asciiTheme="minorEastAsia" w:hAnsiTheme="minorEastAsia" w:eastAsiaTheme="minorEastAsia" w:cstheme="minorEastAsia"/>
          <w:color w:val="000000"/>
          <w:lang w:bidi="en-US"/>
        </w:rPr>
      </w:pPr>
    </w:p>
    <w:p>
      <w:pPr>
        <w:rPr>
          <w:rFonts w:asciiTheme="minorEastAsia" w:hAnsiTheme="minorEastAsia" w:eastAsiaTheme="minorEastAsia" w:cstheme="minorEastAsia"/>
          <w:color w:val="000000"/>
          <w:lang w:bidi="en-US"/>
        </w:rPr>
      </w:pPr>
      <w:r>
        <w:rPr>
          <w:rFonts w:hint="eastAsia" w:asciiTheme="minorEastAsia" w:hAnsiTheme="minorEastAsia" w:eastAsiaTheme="minorEastAsia" w:cstheme="minorEastAsia"/>
          <w:color w:val="000000"/>
          <w:lang w:bidi="en-US"/>
        </w:rPr>
        <w:t>其次假设式（5-2）为一次齐次方程。然后对该方程用时间做一次求导，得如下线性方程：</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szCs w:val="21"/>
              </w:rPr>
              <w:t xml:space="preserve">   </w:t>
            </w:r>
            <m:oMath>
              <m:f>
                <m:fPr>
                  <m:type m:val="lin"/>
                  <m:ctrlPr>
                    <w:rPr>
                      <w:rFonts w:ascii="Cambria Math" w:hAnsi="Cambria Math"/>
                      <w:i/>
                      <w:szCs w:val="21"/>
                    </w:rPr>
                  </m:ctrlPr>
                </m:fPr>
                <m:num>
                  <m:r>
                    <m:rPr/>
                    <w:rPr>
                      <w:rFonts w:ascii="Cambria Math" w:hAnsi="Cambria Math"/>
                      <w:szCs w:val="21"/>
                    </w:rPr>
                    <m:t>dY</m:t>
                  </m:r>
                  <m:ctrlPr>
                    <w:rPr>
                      <w:rFonts w:ascii="Cambria Math" w:hAnsi="Cambria Math"/>
                      <w:i/>
                      <w:szCs w:val="21"/>
                    </w:rPr>
                  </m:ctrlPr>
                </m:num>
                <m:den>
                  <m:r>
                    <m:rPr/>
                    <w:rPr>
                      <w:rFonts w:ascii="Cambria Math" w:hAnsi="Cambria Math"/>
                      <w:szCs w:val="21"/>
                    </w:rPr>
                    <m:t>dt</m:t>
                  </m:r>
                  <m:ctrlPr>
                    <w:rPr>
                      <w:rFonts w:ascii="Cambria Math" w:hAnsi="Cambria Math"/>
                      <w:i/>
                      <w:szCs w:val="21"/>
                    </w:rPr>
                  </m:ctrlPr>
                </m:den>
              </m:f>
            </m:oMath>
            <w:r>
              <w:rPr>
                <w:rFonts w:hint="eastAsia" w:hAnsi="Cambria Math"/>
                <w:szCs w:val="21"/>
              </w:rPr>
              <w:t>=</w:t>
            </w:r>
            <m:oMath>
              <m:r>
                <m:rPr>
                  <m:sty m:val="p"/>
                </m:rPr>
                <w:rPr>
                  <w:rFonts w:ascii="Cambria Math" w:hAnsi="Cambria Math"/>
                  <w:szCs w:val="21"/>
                </w:rPr>
                <m:t>α</m:t>
              </m:r>
              <m:f>
                <m:fPr>
                  <m:type m:val="lin"/>
                  <m:ctrlPr>
                    <w:rPr>
                      <w:rFonts w:ascii="Cambria Math" w:hAnsi="Cambria Math"/>
                      <w:i/>
                      <w:szCs w:val="21"/>
                    </w:rPr>
                  </m:ctrlPr>
                </m:fPr>
                <m:num>
                  <m:r>
                    <m:rPr/>
                    <w:rPr>
                      <w:rFonts w:ascii="Cambria Math" w:hAnsi="Cambria Math"/>
                      <w:szCs w:val="21"/>
                    </w:rPr>
                    <m:t>dL</m:t>
                  </m:r>
                  <m:ctrlPr>
                    <w:rPr>
                      <w:rFonts w:ascii="Cambria Math" w:hAnsi="Cambria Math"/>
                      <w:i/>
                      <w:szCs w:val="21"/>
                    </w:rPr>
                  </m:ctrlPr>
                </m:num>
                <m:den>
                  <m:r>
                    <m:rPr/>
                    <w:rPr>
                      <w:rFonts w:ascii="Cambria Math" w:hAnsi="Cambria Math"/>
                      <w:szCs w:val="21"/>
                    </w:rPr>
                    <m:t>dt</m:t>
                  </m:r>
                  <m:ctrlPr>
                    <w:rPr>
                      <w:rFonts w:ascii="Cambria Math" w:hAnsi="Cambria Math"/>
                      <w:i/>
                      <w:szCs w:val="21"/>
                    </w:rPr>
                  </m:ctrlPr>
                </m:den>
              </m:f>
            </m:oMath>
            <w:r>
              <w:rPr>
                <w:rFonts w:hint="eastAsia" w:hAnsi="Cambria Math"/>
                <w:szCs w:val="21"/>
              </w:rPr>
              <w:t>+(1-</w:t>
            </w:r>
            <m:oMath>
              <m:r>
                <m:rPr>
                  <m:sty m:val="p"/>
                </m:rPr>
                <w:rPr>
                  <w:rFonts w:ascii="Cambria Math" w:hAnsi="Cambria Math"/>
                  <w:szCs w:val="21"/>
                </w:rPr>
                <m:t>α</m:t>
              </m:r>
            </m:oMath>
            <w:r>
              <w:rPr>
                <w:rFonts w:hint="eastAsia" w:hAnsi="Cambria Math"/>
                <w:szCs w:val="21"/>
              </w:rPr>
              <w:t>)</w:t>
            </w:r>
            <m:oMath>
              <m:f>
                <m:fPr>
                  <m:type m:val="lin"/>
                  <m:ctrlPr>
                    <w:rPr>
                      <w:rFonts w:ascii="Cambria Math" w:hAnsi="Cambria Math"/>
                      <w:i/>
                      <w:szCs w:val="21"/>
                    </w:rPr>
                  </m:ctrlPr>
                </m:fPr>
                <m:num>
                  <m:r>
                    <m:rPr/>
                    <w:rPr>
                      <w:rFonts w:ascii="Cambria Math" w:hAnsi="Cambria Math"/>
                      <w:szCs w:val="21"/>
                    </w:rPr>
                    <m:t>dK</m:t>
                  </m:r>
                  <m:ctrlPr>
                    <w:rPr>
                      <w:rFonts w:ascii="Cambria Math" w:hAnsi="Cambria Math"/>
                      <w:i/>
                      <w:szCs w:val="21"/>
                    </w:rPr>
                  </m:ctrlPr>
                </m:num>
                <m:den>
                  <m:r>
                    <m:rPr/>
                    <w:rPr>
                      <w:rFonts w:ascii="Cambria Math" w:hAnsi="Cambria Math"/>
                      <w:szCs w:val="21"/>
                    </w:rPr>
                    <m:t>dt</m:t>
                  </m:r>
                  <m:ctrlPr>
                    <w:rPr>
                      <w:rFonts w:ascii="Cambria Math" w:hAnsi="Cambria Math"/>
                      <w:i/>
                      <w:szCs w:val="21"/>
                    </w:rPr>
                  </m:ctrlPr>
                </m:den>
              </m:f>
            </m:oMath>
          </w:p>
        </w:tc>
        <w:tc>
          <w:tcPr>
            <w:tcW w:w="930" w:type="dxa"/>
            <w:vAlign w:val="center"/>
          </w:tcPr>
          <w:p>
            <w:pPr>
              <w:ind w:firstLine="0" w:firstLineChars="0"/>
              <w:jc w:val="right"/>
            </w:pPr>
            <w:r>
              <w:t>(</w:t>
            </w:r>
            <w:r>
              <w:rPr>
                <w:rFonts w:hint="eastAsia"/>
              </w:rPr>
              <w:t>5</w:t>
            </w:r>
            <w:r>
              <w:t>-</w:t>
            </w:r>
            <w:r>
              <w:rPr>
                <w:rFonts w:hint="eastAsia"/>
              </w:rPr>
              <w:t>3</w:t>
            </w:r>
            <w:r>
              <w:t>)</w:t>
            </w:r>
          </w:p>
        </w:tc>
      </w:tr>
    </w:tbl>
    <w:p>
      <w:pPr>
        <w:rPr>
          <w:rFonts w:asciiTheme="minorEastAsia" w:hAnsiTheme="minorEastAsia" w:eastAsiaTheme="minorEastAsia" w:cstheme="minorEastAsia"/>
          <w:color w:val="000000"/>
          <w:lang w:bidi="en-US"/>
        </w:rPr>
      </w:pPr>
    </w:p>
    <w:p>
      <w:pPr>
        <w:rPr>
          <w:rFonts w:asciiTheme="minorEastAsia" w:hAnsiTheme="minorEastAsia" w:eastAsiaTheme="minorEastAsia" w:cstheme="minorEastAsia"/>
          <w:color w:val="000000"/>
          <w:lang w:bidi="en-US"/>
        </w:rPr>
      </w:pPr>
      <w:r>
        <w:rPr>
          <w:rFonts w:hint="eastAsia" w:asciiTheme="minorEastAsia" w:hAnsiTheme="minorEastAsia" w:eastAsiaTheme="minorEastAsia" w:cstheme="minorEastAsia"/>
          <w:color w:val="000000"/>
          <w:lang w:bidi="en-US"/>
        </w:rPr>
        <w:t>用Y、L、K的时间序列数据拟合其时间的一阶导数数据，用线性回归方程先求出</w:t>
      </w:r>
      <m:oMath>
        <m:r>
          <m:rPr>
            <m:sty m:val="p"/>
          </m:rPr>
          <w:rPr>
            <w:rFonts w:ascii="Cambria Math" w:hAnsi="Cambria Math" w:cstheme="minorEastAsia"/>
            <w:color w:val="000000"/>
            <w:lang w:bidi="en-US"/>
          </w:rPr>
          <m:t>α</m:t>
        </m:r>
      </m:oMath>
      <w:r>
        <w:rPr>
          <w:rFonts w:hint="eastAsia" w:asciiTheme="minorEastAsia" w:hAnsiTheme="minorEastAsia" w:eastAsiaTheme="minorEastAsia" w:cstheme="minorEastAsia"/>
          <w:color w:val="000000"/>
          <w:lang w:bidi="en-US"/>
        </w:rPr>
        <w:t>，然后通过式（5-1）求出b。</w:t>
      </w:r>
    </w:p>
    <w:p>
      <w:pPr>
        <w:rPr>
          <w:rFonts w:asciiTheme="minorEastAsia" w:hAnsiTheme="minorEastAsia" w:eastAsiaTheme="minorEastAsia" w:cstheme="minorEastAsia"/>
          <w:color w:val="000000"/>
          <w:lang w:bidi="en-US"/>
        </w:rPr>
      </w:pPr>
      <w:r>
        <w:rPr>
          <w:rFonts w:hint="eastAsia" w:asciiTheme="minorEastAsia" w:hAnsiTheme="minorEastAsia" w:eastAsiaTheme="minorEastAsia" w:cstheme="minorEastAsia"/>
          <w:color w:val="000000"/>
          <w:lang w:bidi="en-US"/>
        </w:rPr>
        <w:t>但实际上，上述关系变量Y、L、K之间存在一次齐次关系可能假设过强，即式（5-2）和式（5-3）可能假设过强。市场经济主体和商品都是异质性的，商品效用只能排序不能度量，商品效用是个性化和异质性的，这些都可能使式（5-2）和式（5-3）的假设过强。用一个假设过强的逻辑关系去检验另一个逻辑假设，这在方法论上是假设过强的。</w:t>
      </w:r>
    </w:p>
    <w:p>
      <w:pPr>
        <w:rPr>
          <w:rFonts w:asciiTheme="minorEastAsia" w:hAnsiTheme="minorEastAsia" w:eastAsiaTheme="minorEastAsia" w:cstheme="minorEastAsia"/>
          <w:color w:val="000000"/>
          <w:lang w:bidi="en-US"/>
        </w:rPr>
      </w:pPr>
      <w:r>
        <w:rPr>
          <w:rFonts w:hint="eastAsia" w:asciiTheme="minorEastAsia" w:hAnsiTheme="minorEastAsia" w:eastAsiaTheme="minorEastAsia" w:cstheme="minorEastAsia"/>
          <w:color w:val="000000"/>
          <w:lang w:bidi="en-US"/>
        </w:rPr>
        <w:t>此外，线性回归的逻辑基础是独立同分布。经济活动环境随时间的推移而发生变化，因此经济变量的时间序列数据并不满足独立同分布的条件，对经济变量的时间序列数据做线性回归严格说来也假设过强。特别是时间跨度比较长</w:t>
      </w:r>
      <w:r>
        <w:rPr>
          <w:rFonts w:hint="eastAsia" w:ascii="微软雅黑" w:hAnsi="微软雅黑" w:eastAsia="微软雅黑" w:cs="微软雅黑"/>
          <w:color w:val="000000"/>
          <w:lang w:bidi="en-US"/>
        </w:rPr>
        <w:t>、</w:t>
      </w:r>
      <w:r>
        <w:rPr>
          <w:rFonts w:hint="eastAsia" w:asciiTheme="minorEastAsia" w:hAnsiTheme="minorEastAsia" w:eastAsiaTheme="minorEastAsia" w:cstheme="minorEastAsia"/>
          <w:color w:val="000000"/>
          <w:lang w:bidi="en-US"/>
        </w:rPr>
        <w:t>经济环境变化比较大的经济体，用线性回归更是假设过强。</w:t>
      </w:r>
    </w:p>
    <w:p>
      <w:pPr>
        <w:rPr>
          <w:rFonts w:asciiTheme="minorEastAsia" w:hAnsiTheme="minorEastAsia" w:cstheme="minorEastAsia"/>
          <w:color w:val="000000"/>
          <w:lang w:bidi="en-US"/>
        </w:rPr>
      </w:pPr>
      <w:r>
        <w:t>（</w:t>
      </w:r>
      <w:r>
        <w:rPr>
          <w:rFonts w:hint="eastAsia"/>
        </w:rPr>
        <w:t>五</w:t>
      </w:r>
      <w:r>
        <w:t>）</w:t>
      </w:r>
      <w:r>
        <w:rPr>
          <w:rFonts w:hint="eastAsia"/>
          <w:lang w:val="en-US" w:eastAsia="zh-CN"/>
        </w:rPr>
        <w:t>经济理论</w:t>
      </w:r>
      <w:r>
        <w:rPr>
          <w:rFonts w:hint="eastAsia"/>
        </w:rPr>
        <w:t>宏观</w:t>
      </w:r>
      <w:r>
        <w:rPr>
          <w:rFonts w:hint="eastAsia"/>
          <w:lang w:val="en-US" w:eastAsia="zh-CN"/>
        </w:rPr>
        <w:t>基础</w:t>
      </w:r>
      <w:r>
        <w:rPr>
          <w:rFonts w:hint="eastAsia"/>
        </w:rPr>
        <w:t>数学模型对经济现实做定性解释更有意义</w:t>
      </w:r>
    </w:p>
    <w:p>
      <w:pPr>
        <w:rPr>
          <w:rFonts w:asciiTheme="minorEastAsia" w:hAnsiTheme="minorEastAsia" w:eastAsiaTheme="minorEastAsia" w:cstheme="minorEastAsia"/>
          <w:color w:val="000000"/>
          <w:lang w:bidi="en-US"/>
        </w:rPr>
      </w:pPr>
      <w:r>
        <w:rPr>
          <w:rFonts w:hint="eastAsia" w:asciiTheme="minorEastAsia" w:hAnsiTheme="minorEastAsia" w:eastAsiaTheme="minorEastAsia" w:cstheme="minorEastAsia"/>
          <w:color w:val="000000"/>
          <w:lang w:bidi="en-US"/>
        </w:rPr>
        <w:t>现实微观经济主体和商品及服务是异质性的，而宏观经济理论数学模型以经济主体和商品及服务同质性为前提。因此，宏观经济理论数学模型与经济现实有很大的偏差。加上经济变量统计数据的成本法估算与经济理论数学模型收益法估算的系统性误差，</w:t>
      </w:r>
      <w:r>
        <w:rPr>
          <w:rFonts w:hint="eastAsia" w:asciiTheme="minorEastAsia" w:hAnsiTheme="minorEastAsia" w:eastAsiaTheme="minorEastAsia" w:cstheme="minorEastAsia"/>
          <w:color w:val="000000"/>
          <w:lang w:val="en-US" w:eastAsia="zh-CN" w:bidi="en-US"/>
        </w:rPr>
        <w:t>对经济理论</w:t>
      </w:r>
      <w:r>
        <w:rPr>
          <w:rFonts w:hint="eastAsia" w:asciiTheme="minorEastAsia" w:hAnsiTheme="minorEastAsia" w:eastAsiaTheme="minorEastAsia" w:cstheme="minorEastAsia"/>
          <w:color w:val="000000"/>
          <w:lang w:bidi="en-US"/>
        </w:rPr>
        <w:t>宏观</w:t>
      </w:r>
      <w:r>
        <w:rPr>
          <w:rFonts w:hint="eastAsia" w:asciiTheme="minorEastAsia" w:hAnsiTheme="minorEastAsia" w:eastAsiaTheme="minorEastAsia" w:cstheme="minorEastAsia"/>
          <w:color w:val="000000"/>
          <w:lang w:val="en-US" w:eastAsia="zh-CN" w:bidi="en-US"/>
        </w:rPr>
        <w:t>基础</w:t>
      </w:r>
      <w:r>
        <w:rPr>
          <w:rFonts w:hint="eastAsia" w:asciiTheme="minorEastAsia" w:hAnsiTheme="minorEastAsia" w:eastAsiaTheme="minorEastAsia" w:cstheme="minorEastAsia"/>
          <w:color w:val="000000"/>
          <w:lang w:bidi="en-US"/>
        </w:rPr>
        <w:t>数学模型的实证应该取审慎态度。相反，</w:t>
      </w:r>
      <w:r>
        <w:rPr>
          <w:rFonts w:hint="eastAsia" w:asciiTheme="minorEastAsia" w:hAnsiTheme="minorEastAsia" w:eastAsiaTheme="minorEastAsia" w:cstheme="minorEastAsia"/>
          <w:color w:val="000000"/>
          <w:lang w:val="en-US" w:eastAsia="zh-CN" w:bidi="en-US"/>
        </w:rPr>
        <w:t>经济理论</w:t>
      </w:r>
      <w:r>
        <w:rPr>
          <w:rFonts w:hint="eastAsia"/>
        </w:rPr>
        <w:t>宏观</w:t>
      </w:r>
      <w:r>
        <w:rPr>
          <w:rFonts w:hint="eastAsia"/>
          <w:lang w:val="en-US" w:eastAsia="zh-CN"/>
        </w:rPr>
        <w:t>基础</w:t>
      </w:r>
      <w:r>
        <w:rPr>
          <w:rFonts w:hint="eastAsia"/>
        </w:rPr>
        <w:t>数学模型对经济现实做定性解释更有意义。</w:t>
      </w:r>
    </w:p>
    <w:p>
      <w:r>
        <w:t>（</w:t>
      </w:r>
      <w:r>
        <w:rPr>
          <w:rFonts w:hint="eastAsia"/>
        </w:rPr>
        <w:t>六</w:t>
      </w:r>
      <w:r>
        <w:t>）</w:t>
      </w:r>
      <w:r>
        <w:rPr>
          <w:rFonts w:hint="eastAsia"/>
        </w:rPr>
        <w:t>本文</w:t>
      </w:r>
      <w:r>
        <w:rPr>
          <w:rFonts w:hint="eastAsia"/>
          <w:lang w:val="en-US" w:eastAsia="zh-CN"/>
        </w:rPr>
        <w:t>经济理论微观和宏观基础数学</w:t>
      </w:r>
      <w:r>
        <w:rPr>
          <w:rFonts w:hint="eastAsia"/>
        </w:rPr>
        <w:t>模型对若干重要经济现实的定性解释</w:t>
      </w:r>
    </w:p>
    <w:p>
      <w:pPr>
        <w:rPr>
          <w:szCs w:val="21"/>
        </w:rPr>
      </w:pPr>
      <w:r>
        <w:rPr>
          <w:rFonts w:hint="eastAsia" w:asciiTheme="minorEastAsia" w:hAnsiTheme="minorEastAsia" w:eastAsiaTheme="minorEastAsia" w:cstheme="minorEastAsia"/>
          <w:color w:val="000000"/>
          <w:lang w:val="en-US" w:eastAsia="zh-CN" w:bidi="en-US"/>
        </w:rPr>
        <w:t>前面已讨论</w:t>
      </w:r>
      <w:r>
        <w:rPr>
          <w:rFonts w:hint="eastAsia" w:asciiTheme="minorEastAsia" w:hAnsiTheme="minorEastAsia" w:eastAsiaTheme="minorEastAsia" w:cstheme="minorEastAsia"/>
          <w:color w:val="000000"/>
          <w:lang w:bidi="en-US"/>
        </w:rPr>
        <w:t>，</w:t>
      </w:r>
      <w:r>
        <w:rPr>
          <w:rFonts w:hint="eastAsia" w:asciiTheme="minorEastAsia" w:hAnsiTheme="minorEastAsia" w:eastAsiaTheme="minorEastAsia" w:cstheme="minorEastAsia"/>
          <w:color w:val="000000"/>
          <w:lang w:val="en-US" w:eastAsia="zh-CN" w:bidi="en-US"/>
        </w:rPr>
        <w:t>对经济理论宏观模型做定量实证取审慎态度，用基础数学模型对经济现实做定性解释更有意义。下面是</w:t>
      </w:r>
      <w:r>
        <w:rPr>
          <w:rFonts w:hint="default" w:asciiTheme="minorEastAsia" w:hAnsiTheme="minorEastAsia" w:eastAsiaTheme="minorEastAsia" w:cstheme="minorEastAsia"/>
          <w:color w:val="000000"/>
          <w:lang w:eastAsia="zh-CN" w:bidi="en-US"/>
        </w:rPr>
        <w:t>本文</w:t>
      </w:r>
      <w:r>
        <w:rPr>
          <w:szCs w:val="21"/>
        </w:rPr>
        <w:t>对若干重要</w:t>
      </w:r>
      <w:r>
        <w:rPr>
          <w:rFonts w:hint="eastAsia"/>
          <w:szCs w:val="21"/>
        </w:rPr>
        <w:t>经济</w:t>
      </w:r>
      <w:r>
        <w:rPr>
          <w:rFonts w:hint="default"/>
          <w:szCs w:val="21"/>
        </w:rPr>
        <w:t>现实和理论问题</w:t>
      </w:r>
      <w:r>
        <w:rPr>
          <w:rFonts w:hint="eastAsia"/>
          <w:szCs w:val="21"/>
        </w:rPr>
        <w:t>的</w:t>
      </w:r>
      <w:r>
        <w:rPr>
          <w:rFonts w:hint="eastAsia"/>
          <w:szCs w:val="21"/>
          <w:lang w:val="en-US" w:eastAsia="zh-CN"/>
        </w:rPr>
        <w:t>定性</w:t>
      </w:r>
      <w:r>
        <w:rPr>
          <w:rFonts w:hint="eastAsia"/>
          <w:szCs w:val="21"/>
        </w:rPr>
        <w:t>解释。</w:t>
      </w:r>
    </w:p>
    <w:p>
      <w:pPr>
        <w:pStyle w:val="4"/>
        <w:ind w:firstLine="420"/>
      </w:pPr>
      <w:r>
        <w:fldChar w:fldCharType="begin"/>
      </w:r>
      <w:r>
        <w:instrText xml:space="preserve"> = 1 \* GB1 \* MERGEFORMAT </w:instrText>
      </w:r>
      <w:r>
        <w:fldChar w:fldCharType="separate"/>
      </w:r>
      <w:r>
        <w:t>⒈</w:t>
      </w:r>
      <w:r>
        <w:fldChar w:fldCharType="end"/>
      </w:r>
      <w:r>
        <w:t>不同国家人均GDP有显著差异</w:t>
      </w:r>
    </w:p>
    <w:p>
      <w:pPr>
        <w:rPr>
          <w:szCs w:val="21"/>
        </w:rPr>
      </w:pPr>
      <w:r>
        <w:rPr>
          <w:szCs w:val="21"/>
        </w:rPr>
        <w:t>根据国际货币</w:t>
      </w:r>
      <w:r>
        <w:rPr>
          <w:rFonts w:hint="eastAsia"/>
          <w:szCs w:val="21"/>
        </w:rPr>
        <w:t>基金</w:t>
      </w:r>
      <w:r>
        <w:rPr>
          <w:szCs w:val="21"/>
        </w:rPr>
        <w:t>组织（IMF）数据，2021年美国人均GDP为69231.40美元/人，中国人均GDP为12358.8美元/人，美国是中国的5.6倍，美国显著高。本文的解释是：根据不变价格生产函数方程（4-13），不同国家经济禀赋</w:t>
      </w:r>
      <w:r>
        <w:rPr>
          <w:bCs/>
          <w:szCs w:val="21"/>
        </w:rPr>
        <w:t xml:space="preserve"> a=A（L，N，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）不同，政府投资和货币政策带来的社会需求(</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)不同，最后导致</w:t>
      </w:r>
      <w:r>
        <w:rPr>
          <w:szCs w:val="21"/>
        </w:rPr>
        <w:t>不变价格人均社会产出不同。美国科学与技术水平比中国显著高，美国人均人口知识积累，私人部门人均对知识的积累，政府部门人均对知识的积累显著比中国的高，这是美国人均GDP比中国显著高的原因。因此，不同国家不同经济禀赋和不同政府投资和货币政策是造成人均GDP差异的原因。</w:t>
      </w:r>
    </w:p>
    <w:p>
      <w:pPr>
        <w:pStyle w:val="4"/>
        <w:ind w:firstLine="420"/>
      </w:pPr>
      <w:r>
        <w:fldChar w:fldCharType="begin"/>
      </w:r>
      <w:r>
        <w:instrText xml:space="preserve"> = 2 \* GB1 \* MERGEFORMAT </w:instrText>
      </w:r>
      <w:r>
        <w:fldChar w:fldCharType="separate"/>
      </w:r>
      <w:r>
        <w:t>⒉</w:t>
      </w:r>
      <w:r>
        <w:fldChar w:fldCharType="end"/>
      </w:r>
      <w:r>
        <w:t>中印经济增长显著差异</w:t>
      </w:r>
    </w:p>
    <w:p>
      <w:pPr>
        <w:rPr>
          <w:szCs w:val="21"/>
        </w:rPr>
      </w:pPr>
      <w:r>
        <w:rPr>
          <w:szCs w:val="21"/>
        </w:rPr>
        <w:t>中国与印度人口规模相近，1979年中国人均GDP是印度的82%，2020年中国人均GDP是印度的5.48倍，这期间中国经济增长率显著比印度高。本文的解释是：（1）中国高考制度和大学扩招培养了大量知识劳动力，提高了人口对知识的积累。（2）政府大量投资经济基础设施和科学与技术研究，提高了政府部门资本积累。（3）政府资本积累提高了社会生产力，构成对私人部门的补贴，提高了私人部门国际竞争力，吸引国际产业转移到中国，这最终提高了私人部门资本积累。上述三点是过去四十多年中国经济增长比印度好的重要原因之一。中国经济增长比印度显著好意味着中国过去的政府投资和货币政策有显著效果。</w:t>
      </w:r>
    </w:p>
    <w:p>
      <w:pPr>
        <w:pStyle w:val="4"/>
        <w:ind w:firstLine="420"/>
      </w:pPr>
      <w:r>
        <w:fldChar w:fldCharType="begin"/>
      </w:r>
      <w:r>
        <w:instrText xml:space="preserve"> = 3 \* GB1 \* MERGEFORMAT </w:instrText>
      </w:r>
      <w:r>
        <w:fldChar w:fldCharType="separate"/>
      </w:r>
      <w:r>
        <w:t>⒊</w:t>
      </w:r>
      <w:r>
        <w:fldChar w:fldCharType="end"/>
      </w:r>
      <w:r>
        <w:t>美国、中国大陆和印度自然指数变化</w:t>
      </w:r>
    </w:p>
    <w:p>
      <w:pPr>
        <w:rPr>
          <w:szCs w:val="21"/>
        </w:rPr>
      </w:pPr>
      <w:r>
        <w:rPr>
          <w:szCs w:val="21"/>
        </w:rPr>
        <w:t>自然指数（Nature Index）于2016年首次发布，根据世界各国在全球顶级期刊（《自然》系列、《科学》《细胞》等82种自然科学类期刊）上发表的论文数量计分，反映世界各国当年高质量科学与技术研究产出。2016年至2022年，中国自然指数份额快速增长。科学与技术是经济体禀赋最核心要素之一，中国自然指数份额快速增长为未来经济体禀赋快速增长和经济增长潜力快速增长打下良好的基础。本文对这个经济现实的解释是：中国政府对大学和科研院所大量投入带来中国科学家高质量科研论文快速增加，效果是显著的。</w:t>
      </w:r>
    </w:p>
    <w:p>
      <w:pPr>
        <w:pStyle w:val="5"/>
        <w:ind w:firstLine="360"/>
        <w:rPr>
          <w:rFonts w:eastAsia="宋体"/>
        </w:rPr>
      </w:pPr>
      <w:r>
        <w:rPr>
          <w:rFonts w:hint="eastAsia"/>
        </w:rPr>
        <w:drawing>
          <wp:inline distT="0" distB="0" distL="114300" distR="114300">
            <wp:extent cx="4632325" cy="35814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4"/>
                    <a:stretch>
                      <a:fillRect/>
                    </a:stretch>
                  </pic:blipFill>
                  <pic:spPr>
                    <a:xfrm>
                      <a:off x="0" y="0"/>
                      <a:ext cx="4637484" cy="3585085"/>
                    </a:xfrm>
                    <a:prstGeom prst="rect">
                      <a:avLst/>
                    </a:prstGeom>
                  </pic:spPr>
                </pic:pic>
              </a:graphicData>
            </a:graphic>
          </wp:inline>
        </w:drawing>
      </w:r>
      <w:r>
        <w:rPr>
          <w:rFonts w:hint="eastAsia"/>
        </w:rPr>
        <w:t xml:space="preserve">图5-1 </w:t>
      </w:r>
      <w:r>
        <w:t>2016</w:t>
      </w:r>
      <w:r>
        <w:rPr>
          <w:rFonts w:hint="eastAsia"/>
        </w:rPr>
        <w:t>至2</w:t>
      </w:r>
      <w:r>
        <w:t>022</w:t>
      </w:r>
      <w:r>
        <w:rPr>
          <w:rFonts w:hint="eastAsia"/>
        </w:rPr>
        <w:t>年美国、中国、印度自然指数图</w:t>
      </w:r>
    </w:p>
    <w:p>
      <w:pPr>
        <w:pStyle w:val="4"/>
        <w:ind w:firstLine="420"/>
      </w:pPr>
      <w:r>
        <w:rPr>
          <w:lang w:bidi="ar"/>
        </w:rPr>
        <w:fldChar w:fldCharType="begin"/>
      </w:r>
      <w:r>
        <w:rPr>
          <w:lang w:bidi="ar"/>
        </w:rPr>
        <w:instrText xml:space="preserve"> = 4 \* GB1 \* MERGEFORMAT </w:instrText>
      </w:r>
      <w:r>
        <w:rPr>
          <w:lang w:bidi="ar"/>
        </w:rPr>
        <w:fldChar w:fldCharType="separate"/>
      </w:r>
      <w:r>
        <w:t>⒋</w:t>
      </w:r>
      <w:r>
        <w:rPr>
          <w:lang w:bidi="ar"/>
        </w:rPr>
        <w:fldChar w:fldCharType="end"/>
      </w:r>
      <w:r>
        <w:rPr>
          <w:lang w:bidi="ar"/>
        </w:rPr>
        <w:t>发达国家政府投资对社会产出，私人投资和就业的影响</w:t>
      </w:r>
    </w:p>
    <w:p>
      <w:pPr>
        <w:rPr>
          <w:szCs w:val="21"/>
          <w:lang w:bidi="ar"/>
        </w:rPr>
      </w:pPr>
      <w:r>
        <w:rPr>
          <w:szCs w:val="21"/>
          <w:lang w:bidi="ar"/>
        </w:rPr>
        <w:fldChar w:fldCharType="begin"/>
      </w:r>
      <w:r>
        <w:rPr>
          <w:szCs w:val="21"/>
          <w:lang w:bidi="ar"/>
        </w:rPr>
        <w:instrText xml:space="preserve"> ADDIN EN.CITE &lt;EndNote&gt;&lt;Cite AuthorYear="1"&gt;&lt;Author&gt;Adb&lt;/Author&gt;&lt;Year&gt;2016&lt;/Year&gt;&lt;RecNum&gt;941&lt;/RecNum&gt;&lt;DisplayText&gt;Adb et al. (2016)&lt;/DisplayText&gt;&lt;record&gt;&lt;rec-number&gt;941&lt;/rec-number&gt;&lt;foreign-keys&gt;&lt;key app="EN" db-id="dfw50pzpwrep2aeerx4v2xdyaa5vzeftr0xv" timestamp="1674197457"&gt;941&lt;/key&gt;&lt;/foreign-keys&gt;&lt;ref-type name="Journal Article"&gt;17&lt;/ref-type&gt;&lt;contributors&gt;&lt;authors&gt;&lt;author&gt;Adb, Abdul Abiad&lt;/author&gt;&lt;author&gt;Furceri, Davide&lt;/author&gt;&lt;author&gt;Imf, Petia Topalova&lt;/author&gt;&lt;/authors&gt;&lt;/contributors&gt;&lt;titles&gt;&lt;title&gt;The macroeconomic effects of public investment: Evidence from advanced economies&lt;/title&gt;&lt;secondary-title&gt;Journal of Macroeconomics&lt;/secondary-title&gt;&lt;/titles&gt;&lt;periodical&gt;&lt;full-title&gt;Journal of Macroeconomics&lt;/full-title&gt;&lt;/periodical&gt;&lt;pages&gt;224-240&lt;/pages&gt;&lt;volume&gt;50&lt;/volume&gt;&lt;dates&gt;&lt;year&gt;2016&lt;/year&gt;&lt;/dates&gt;&lt;publisher&gt;Elsevier&lt;/publisher&gt;&lt;isbn&gt;0164-0704&lt;/isbn&gt;&lt;urls&gt;&lt;/urls&gt;&lt;/record&gt;&lt;/Cite&gt;&lt;/EndNote&gt;</w:instrText>
      </w:r>
      <w:r>
        <w:rPr>
          <w:szCs w:val="21"/>
          <w:lang w:bidi="ar"/>
        </w:rPr>
        <w:fldChar w:fldCharType="separate"/>
      </w:r>
      <w:r>
        <w:rPr>
          <w:szCs w:val="21"/>
          <w:lang w:bidi="ar"/>
        </w:rPr>
        <w:t>Adb et al. (2016)</w:t>
      </w:r>
      <w:r>
        <w:rPr>
          <w:szCs w:val="21"/>
          <w:lang w:bidi="ar"/>
        </w:rPr>
        <w:fldChar w:fldCharType="end"/>
      </w:r>
      <w:r>
        <w:rPr>
          <w:szCs w:val="21"/>
          <w:lang w:bidi="ar"/>
        </w:rPr>
        <w:t>用17个OECD国家1985-2013期间数据分析政府公共投资的效应，其结论是政府投资无论是长期还是短期都增加社会产出，激发而不是抑制私人部门投资，并减少社会失业。本文的解释是：通货膨胀率在政策目标范围内的条件下，政府投资对私人部门投资是刺激效应而不是挤出效应，政府投资提高社会产出。</w:t>
      </w:r>
    </w:p>
    <w:p>
      <w:pPr>
        <w:rPr>
          <w:szCs w:val="21"/>
          <w:lang w:bidi="ar"/>
        </w:rPr>
      </w:pPr>
      <w:r>
        <w:rPr>
          <w:szCs w:val="21"/>
          <w:lang w:bidi="ar"/>
        </w:rPr>
        <w:t xml:space="preserve"> </w:t>
      </w:r>
      <w:r>
        <w:rPr>
          <w:szCs w:val="21"/>
          <w:lang w:bidi="ar"/>
        </w:rPr>
        <w:fldChar w:fldCharType="begin"/>
      </w:r>
      <w:r>
        <w:rPr>
          <w:szCs w:val="21"/>
          <w:lang w:bidi="ar"/>
        </w:rPr>
        <w:instrText xml:space="preserve"> = 5 \* GB1 \* MERGEFORMAT </w:instrText>
      </w:r>
      <w:r>
        <w:rPr>
          <w:szCs w:val="21"/>
          <w:lang w:bidi="ar"/>
        </w:rPr>
        <w:fldChar w:fldCharType="separate"/>
      </w:r>
      <w:r>
        <w:t>⒌</w:t>
      </w:r>
      <w:r>
        <w:rPr>
          <w:szCs w:val="21"/>
          <w:lang w:bidi="ar"/>
        </w:rPr>
        <w:fldChar w:fldCharType="end"/>
      </w:r>
      <w:r>
        <w:rPr>
          <w:szCs w:val="21"/>
          <w:lang w:bidi="ar"/>
        </w:rPr>
        <w:t>中国经济增长平稳</w:t>
      </w:r>
    </w:p>
    <w:p>
      <w:pPr>
        <w:rPr>
          <w:szCs w:val="21"/>
          <w:lang w:bidi="ar"/>
        </w:rPr>
      </w:pPr>
      <w:r>
        <w:rPr>
          <w:szCs w:val="21"/>
          <w:lang w:bidi="ar"/>
        </w:rPr>
        <w:t>由图5-2可知，1978年以来，中国经济增长平稳，从未爆发金融危机和经济危机。中国实质上已货币机构政府化，在基本保证通货膨胀率在政策目标范围内的前提条件下，政府大量投资科学与技术研究、经济基础设施、学校和医院等社会公共服务机构等，有效降低了私人部门的外部成本，提高了私人部门的国际竞争力，让先进国际产业转移到中国，中国经济因此不仅实现了比较高的增长速度还从未爆发金融危</w:t>
      </w:r>
      <w:r>
        <w:rPr>
          <w:rFonts w:ascii="宋体" w:hAnsi="宋体" w:cs="宋体"/>
          <w:szCs w:val="21"/>
          <w:lang w:bidi="ar"/>
        </w:rPr>
        <w:drawing>
          <wp:inline distT="0" distB="0" distL="114300" distR="114300">
            <wp:extent cx="5271770" cy="4075430"/>
            <wp:effectExtent l="0" t="0" r="5080" b="127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5"/>
                    <a:stretch>
                      <a:fillRect/>
                    </a:stretch>
                  </pic:blipFill>
                  <pic:spPr>
                    <a:xfrm>
                      <a:off x="0" y="0"/>
                      <a:ext cx="5271770" cy="4075430"/>
                    </a:xfrm>
                    <a:prstGeom prst="rect">
                      <a:avLst/>
                    </a:prstGeom>
                  </pic:spPr>
                </pic:pic>
              </a:graphicData>
            </a:graphic>
          </wp:inline>
        </w:drawing>
      </w:r>
      <w:r>
        <w:rPr>
          <w:szCs w:val="21"/>
          <w:lang w:bidi="ar"/>
        </w:rPr>
        <w:t>机和经济危机。</w:t>
      </w:r>
    </w:p>
    <w:p>
      <w:pPr>
        <w:rPr>
          <w:rFonts w:ascii="宋体" w:hAnsi="宋体" w:cs="宋体"/>
          <w:szCs w:val="21"/>
          <w:lang w:bidi="ar"/>
        </w:rPr>
      </w:pPr>
    </w:p>
    <w:p>
      <w:pPr>
        <w:pStyle w:val="5"/>
      </w:pPr>
      <w:r>
        <w:rPr>
          <w:rFonts w:hint="eastAsia"/>
          <w:sz w:val="21"/>
          <w:lang w:bidi="ar"/>
        </w:rPr>
        <w:t>图5-2</w:t>
      </w:r>
      <w:r>
        <w:rPr>
          <w:lang w:bidi="ar"/>
        </w:rPr>
        <w:t xml:space="preserve"> 1979</w:t>
      </w:r>
      <w:r>
        <w:rPr>
          <w:rFonts w:hint="eastAsia"/>
          <w:lang w:bidi="ar"/>
        </w:rPr>
        <w:t>至2</w:t>
      </w:r>
      <w:r>
        <w:rPr>
          <w:lang w:bidi="ar"/>
        </w:rPr>
        <w:t>020</w:t>
      </w:r>
      <w:r>
        <w:rPr>
          <w:rFonts w:hint="eastAsia"/>
          <w:lang w:bidi="ar"/>
        </w:rPr>
        <w:t>年各类经济增长率</w:t>
      </w:r>
    </w:p>
    <w:p>
      <w:pPr>
        <w:widowControl/>
        <w:rPr>
          <w:rFonts w:ascii="宋体" w:hAnsi="宋体" w:cs="宋体"/>
        </w:rPr>
      </w:pPr>
      <w:r>
        <w:rPr>
          <w:rFonts w:hint="eastAsia" w:ascii="宋体" w:hAnsi="宋体" w:cs="宋体"/>
        </w:rPr>
        <w:t>6.金融危机</w:t>
      </w:r>
      <w:r>
        <w:rPr>
          <w:rFonts w:hint="eastAsia" w:ascii="微软雅黑" w:hAnsi="微软雅黑" w:eastAsia="微软雅黑" w:cs="微软雅黑"/>
        </w:rPr>
        <w:t>、</w:t>
      </w:r>
      <w:r>
        <w:rPr>
          <w:rFonts w:hint="eastAsia" w:ascii="宋体" w:hAnsi="宋体" w:cs="宋体"/>
        </w:rPr>
        <w:t>经济危机和经济波动问题</w:t>
      </w:r>
    </w:p>
    <w:p>
      <w:pPr>
        <w:widowControl/>
        <w:rPr>
          <w:rFonts w:ascii="宋体" w:hAnsi="宋体" w:cs="宋体"/>
        </w:rPr>
      </w:pPr>
      <w:r>
        <w:rPr>
          <w:rFonts w:ascii="宋体" w:hAnsi="宋体" w:cs="宋体"/>
        </w:rPr>
        <w:t>新古典学派认为理想条件下自由市场经济能实现最优化发展</w:t>
      </w:r>
      <w:r>
        <w:rPr>
          <w:rFonts w:hint="eastAsia" w:ascii="宋体" w:hAnsi="宋体" w:cs="宋体"/>
        </w:rPr>
        <w:t>，</w:t>
      </w:r>
      <w:r>
        <w:rPr>
          <w:rFonts w:ascii="宋体" w:hAnsi="宋体" w:cs="宋体"/>
        </w:rPr>
        <w:t>不会出现金融危机和经济危机等经济波动，是现实的信息不完美，信息传导摩擦和政府政策导致了金融危机和经济危机等</w:t>
      </w:r>
      <w:r>
        <w:rPr>
          <w:rFonts w:hint="eastAsia" w:ascii="宋体" w:hAnsi="宋体" w:cs="宋体"/>
        </w:rPr>
        <w:t>经济波动</w:t>
      </w:r>
      <w:r>
        <w:rPr>
          <w:rFonts w:ascii="宋体" w:hAnsi="宋体" w:cs="宋体"/>
        </w:rPr>
        <w:t>。</w:t>
      </w:r>
    </w:p>
    <w:p>
      <w:pPr>
        <w:widowControl/>
        <w:rPr>
          <w:rFonts w:ascii="宋体" w:hAnsi="宋体" w:cs="宋体"/>
        </w:rPr>
      </w:pPr>
      <w:r>
        <w:rPr>
          <w:rFonts w:ascii="宋体" w:hAnsi="宋体" w:cs="宋体"/>
        </w:rPr>
        <w:t>本文则认为自由市场经济内生不能实现</w:t>
      </w:r>
      <w:r>
        <w:rPr>
          <w:rFonts w:hint="eastAsia" w:ascii="宋体" w:hAnsi="宋体" w:cs="宋体"/>
        </w:rPr>
        <w:t>最</w:t>
      </w:r>
      <w:r>
        <w:rPr>
          <w:rFonts w:ascii="宋体" w:hAnsi="宋体" w:cs="宋体"/>
        </w:rPr>
        <w:t>优化发展，商业银行由于债权期限错配爆发金融危机和经济危机是必然；自由市场经济将出现劳动力剩余和资本积累未被充分利用。政府通过政府化的货币体系可以避免金融危机，政府投资和货币政策等可以提高劳动力利用率，平滑经济波动和提高经济体禀赋。</w:t>
      </w:r>
    </w:p>
    <w:p>
      <w:pPr>
        <w:widowControl/>
        <w:rPr>
          <w:rFonts w:ascii="宋体" w:hAnsi="宋体" w:cs="宋体"/>
        </w:rPr>
      </w:pPr>
      <w:r>
        <w:rPr>
          <w:rFonts w:hint="eastAsia" w:ascii="宋体" w:hAnsi="宋体" w:cs="宋体"/>
        </w:rPr>
        <w:t>7.经济产出的短期收敛或上限问题</w:t>
      </w:r>
    </w:p>
    <w:p>
      <w:pPr>
        <w:widowControl/>
        <w:rPr>
          <w:rFonts w:ascii="宋体" w:hAnsi="宋体" w:cs="宋体"/>
        </w:rPr>
      </w:pPr>
      <w:r>
        <w:rPr>
          <w:rFonts w:hint="eastAsia" w:ascii="宋体" w:hAnsi="宋体" w:cs="宋体"/>
        </w:rPr>
        <w:t>新古典学派认为自由经济活动将实现竞争性</w:t>
      </w:r>
      <w:r>
        <w:rPr>
          <w:rFonts w:ascii="宋体" w:hAnsi="宋体" w:cs="宋体"/>
        </w:rPr>
        <w:t>均衡</w:t>
      </w:r>
      <w:r>
        <w:rPr>
          <w:rFonts w:hint="eastAsia" w:ascii="宋体" w:hAnsi="宋体" w:cs="宋体"/>
        </w:rPr>
        <w:t>，</w:t>
      </w:r>
      <w:r>
        <w:rPr>
          <w:rFonts w:ascii="宋体" w:hAnsi="宋体" w:cs="宋体"/>
        </w:rPr>
        <w:t>社会</w:t>
      </w:r>
      <w:r>
        <w:rPr>
          <w:rFonts w:hint="eastAsia" w:ascii="宋体" w:hAnsi="宋体" w:cs="宋体"/>
        </w:rPr>
        <w:t>产出是收敛的。</w:t>
      </w:r>
    </w:p>
    <w:p>
      <w:pPr>
        <w:widowControl/>
        <w:rPr>
          <w:rFonts w:ascii="宋体" w:hAnsi="宋体" w:cs="宋体"/>
        </w:rPr>
      </w:pPr>
      <w:r>
        <w:rPr>
          <w:rFonts w:ascii="宋体" w:hAnsi="宋体" w:cs="宋体"/>
        </w:rPr>
        <w:t>本文认为政府投资和货币政策等与通货膨胀率之间存在一种约束关系，政府投资和货币政策等超过一定范围将引发通货膨胀，任一特定时期经济产出是有上限的。</w:t>
      </w:r>
    </w:p>
    <w:p>
      <w:pPr>
        <w:widowControl/>
        <w:rPr>
          <w:rFonts w:ascii="宋体" w:hAnsi="宋体" w:cs="宋体"/>
        </w:rPr>
      </w:pPr>
      <w:r>
        <w:rPr>
          <w:rFonts w:hint="eastAsia" w:ascii="宋体" w:hAnsi="宋体" w:cs="宋体"/>
        </w:rPr>
        <w:t>8.经济产出的长期单调增长问题。</w:t>
      </w:r>
    </w:p>
    <w:p>
      <w:pPr>
        <w:widowControl/>
        <w:rPr>
          <w:rFonts w:ascii="宋体" w:hAnsi="宋体" w:cs="宋体"/>
        </w:rPr>
      </w:pPr>
      <w:r>
        <w:rPr>
          <w:rFonts w:ascii="宋体" w:hAnsi="宋体" w:cs="宋体"/>
        </w:rPr>
        <w:t>罗默在索洛模型的基础上假设私人部门的研发投入将带来产出的规模递增，但对研发投入的产出仍然是规模递减。这既保证了新古典模型的短期收敛性，又解释了以研发为驱动力的美国经济的长期单调持续增长问题。</w:t>
      </w:r>
    </w:p>
    <w:p>
      <w:pPr>
        <w:rPr>
          <w:rFonts w:ascii="宋体" w:hAnsi="宋体" w:cs="宋体"/>
        </w:rPr>
      </w:pPr>
      <w:r>
        <w:rPr>
          <w:rFonts w:ascii="宋体" w:hAnsi="宋体" w:cs="宋体"/>
        </w:rPr>
        <w:t>本文认为新知识带来新产品或降低老产品成本推动经济单调持续增长，即知识增长推动经济持续单调增长</w:t>
      </w:r>
      <w:r>
        <w:rPr>
          <w:rFonts w:hint="eastAsia" w:ascii="宋体" w:hAnsi="宋体" w:cs="宋体"/>
        </w:rPr>
        <w:t>，经济增长无边界</w:t>
      </w:r>
      <w:r>
        <w:rPr>
          <w:rFonts w:ascii="宋体" w:hAnsi="宋体" w:cs="宋体"/>
        </w:rPr>
        <w:t>。</w:t>
      </w:r>
    </w:p>
    <w:p>
      <w:pPr>
        <w:rPr>
          <w:rFonts w:ascii="宋体" w:hAnsi="宋体" w:cs="宋体"/>
        </w:rPr>
      </w:pPr>
      <w:r>
        <w:rPr>
          <w:rFonts w:hint="eastAsia" w:ascii="宋体" w:hAnsi="宋体" w:cs="宋体"/>
        </w:rPr>
        <w:t>9.</w:t>
      </w:r>
      <w:r>
        <w:rPr>
          <w:rFonts w:ascii="宋体" w:hAnsi="宋体" w:cs="宋体"/>
        </w:rPr>
        <w:t>世界各国贫富差距不收敛</w:t>
      </w:r>
      <w:r>
        <w:rPr>
          <w:rFonts w:hint="eastAsia" w:ascii="宋体" w:hAnsi="宋体" w:cs="宋体"/>
        </w:rPr>
        <w:t>问题</w:t>
      </w:r>
    </w:p>
    <w:p>
      <w:pPr>
        <w:rPr>
          <w:rFonts w:ascii="宋体" w:hAnsi="宋体" w:cs="宋体"/>
        </w:rPr>
      </w:pPr>
      <w:r>
        <w:rPr>
          <w:rFonts w:hint="eastAsia" w:ascii="宋体" w:hAnsi="宋体" w:cs="宋体"/>
        </w:rPr>
        <w:t>新古典罗默模型认为</w:t>
      </w:r>
      <w:r>
        <w:rPr>
          <w:rFonts w:ascii="宋体" w:hAnsi="宋体" w:cs="宋体"/>
        </w:rPr>
        <w:t>发达国家与发展中国家的</w:t>
      </w:r>
      <w:r>
        <w:rPr>
          <w:rFonts w:hint="eastAsia" w:ascii="宋体" w:hAnsi="宋体" w:cs="宋体"/>
        </w:rPr>
        <w:t>人均</w:t>
      </w:r>
      <w:r>
        <w:rPr>
          <w:rFonts w:ascii="宋体" w:hAnsi="宋体" w:cs="宋体"/>
        </w:rPr>
        <w:t>产出</w:t>
      </w:r>
      <w:r>
        <w:rPr>
          <w:rFonts w:hint="eastAsia" w:ascii="宋体" w:hAnsi="宋体" w:cs="宋体"/>
        </w:rPr>
        <w:t>差距</w:t>
      </w:r>
      <w:r>
        <w:rPr>
          <w:rFonts w:ascii="宋体" w:hAnsi="宋体" w:cs="宋体"/>
        </w:rPr>
        <w:t>越来越大，</w:t>
      </w:r>
      <w:r>
        <w:rPr>
          <w:rFonts w:hint="eastAsia" w:ascii="宋体" w:hAnsi="宋体" w:cs="宋体"/>
        </w:rPr>
        <w:t>原因在于发达国家与发展中国家科学与技术水平差距越来越大，发达国家与发展中国家的经济禀赋差距越来越大。本文的主张与罗默大致一致，差异在于罗默认为科学与技术是私人部门的内生变量，而本文则认为科学与技术是所有经济主体的内生变量。</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r>
        <w:rPr>
          <w:rFonts w:asciiTheme="minorEastAsia" w:hAnsiTheme="minorEastAsia" w:eastAsiaTheme="minorEastAsia" w:cstheme="minorEastAsia"/>
          <w:szCs w:val="21"/>
        </w:rPr>
        <w:t>高科技寡头企业资本回报高于社会平均利率问题</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按新古典一般均衡理论，企业的资本回报率将与社会平均利率实现均衡。但美国的微软等科技巨头其资本回报率比美国市场利率显著高，为此鲍勃和曼昆在索洛新古典模型的基础上引入企业市场力假设，认为是企业的市场力让企业获得了高于社会平均市场利率的收益。</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本文认为，伯特兰德竞争是企业竞争的主要形式，优势企业对竞争对手的知识优势是获得利润的重要来源。知识优势越大，资本回报越高。美国高科技巨头因为比竞争对手有巨大的研发优势而获得远高于社会平均市场利率的资本回报。</w:t>
      </w:r>
    </w:p>
    <w:p>
      <w:pPr>
        <w:widowControl/>
        <w:rPr>
          <w:rFonts w:ascii="宋体" w:hAnsi="宋体" w:cs="宋体"/>
        </w:rPr>
      </w:pPr>
      <w:r>
        <w:rPr>
          <w:rFonts w:hint="eastAsia" w:ascii="宋体" w:hAnsi="宋体" w:cs="宋体"/>
        </w:rPr>
        <w:t>11.汇率稳定问题</w:t>
      </w:r>
    </w:p>
    <w:p>
      <w:pPr>
        <w:widowControl/>
        <w:rPr>
          <w:rFonts w:ascii="宋体" w:hAnsi="宋体" w:cs="宋体"/>
        </w:rPr>
      </w:pPr>
      <w:r>
        <w:rPr>
          <w:rFonts w:ascii="宋体" w:hAnsi="宋体" w:cs="宋体"/>
        </w:rPr>
        <w:t>格鲁克曼认为两国货币之间的比价汇率存在稳定均衡解。本文认为汇率是投资品价格没有稳定均衡解，主张通过央行在国际外汇市场干预实现稳定汇率，保证国际贸易顺利进行。</w:t>
      </w:r>
    </w:p>
    <w:p>
      <w:pPr>
        <w:widowControl/>
        <w:rPr>
          <w:rFonts w:ascii="宋体" w:hAnsi="宋体" w:cs="宋体"/>
        </w:rPr>
      </w:pPr>
      <w:r>
        <w:rPr>
          <w:rFonts w:hint="eastAsia" w:ascii="宋体" w:hAnsi="宋体" w:cs="宋体"/>
        </w:rPr>
        <w:t>12.</w:t>
      </w:r>
      <w:r>
        <w:rPr>
          <w:rFonts w:ascii="宋体" w:hAnsi="宋体" w:cs="宋体"/>
        </w:rPr>
        <w:t>私人部门跨境资本流动的管理问题</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新古典</w:t>
      </w:r>
      <w:r>
        <w:rPr>
          <w:rFonts w:hint="eastAsia" w:asciiTheme="minorEastAsia" w:hAnsiTheme="minorEastAsia" w:eastAsiaTheme="minorEastAsia" w:cstheme="minorEastAsia"/>
          <w:szCs w:val="21"/>
        </w:rPr>
        <w:t>学派</w:t>
      </w:r>
      <w:r>
        <w:rPr>
          <w:rFonts w:asciiTheme="minorEastAsia" w:hAnsiTheme="minorEastAsia" w:eastAsiaTheme="minorEastAsia" w:cstheme="minorEastAsia"/>
          <w:szCs w:val="21"/>
        </w:rPr>
        <w:t>认为单个经济主体的优化就是国家经济体和全球整体的优化。本文认为私人部门单个经济主体的利益和国家整体利益可能不一致，主张对私人部门跨境资本流动和对外投资及融资进行管理，保证一个国家的财富不流失到国外。</w:t>
      </w:r>
    </w:p>
    <w:p>
      <w:pPr>
        <w:ind w:left="420" w:firstLine="0" w:firstLineChars="0"/>
        <w:rPr>
          <w:rFonts w:ascii="宋体" w:hAnsi="宋体" w:cs="宋体"/>
        </w:rPr>
      </w:pPr>
      <w:r>
        <w:rPr>
          <w:rFonts w:hint="eastAsia" w:ascii="宋体" w:hAnsi="宋体" w:cs="宋体"/>
        </w:rPr>
        <w:t>13.社会制度设计和完善问题</w:t>
      </w:r>
    </w:p>
    <w:p>
      <w:pPr>
        <w:rPr>
          <w:rFonts w:ascii="宋体" w:hAnsi="宋体" w:cs="宋体"/>
        </w:rPr>
      </w:pPr>
      <w:r>
        <w:rPr>
          <w:rFonts w:hint="eastAsia" w:ascii="宋体" w:hAnsi="宋体" w:cs="宋体"/>
        </w:rPr>
        <w:t>新古典学派和凯恩斯学派各类模型一般对微观经济主体做同质性假设，因而一般不涉及影响微观经济主体行为的社会制度设计和完善问题。本文模型对微观经济主体的假设是异质性，每个经济主体都有自身独特的资本积累，因此本文认为公平公正的激励各经济主体提高自身资本积累以提高市场竞争力</w:t>
      </w:r>
      <w:r>
        <w:rPr>
          <w:rFonts w:hint="default" w:ascii="宋体" w:hAnsi="宋体" w:cs="宋体"/>
        </w:rPr>
        <w:t>的</w:t>
      </w:r>
      <w:r>
        <w:rPr>
          <w:rFonts w:hint="eastAsia" w:ascii="宋体" w:hAnsi="宋体" w:cs="宋体"/>
        </w:rPr>
        <w:t>社会制度设计和完善是经济理论最重要的问题之一。</w:t>
      </w:r>
    </w:p>
    <w:p>
      <w:pPr>
        <w:ind w:firstLine="0" w:firstLineChars="0"/>
        <w:rPr>
          <w:rFonts w:asciiTheme="minorEastAsia" w:hAnsiTheme="minorEastAsia" w:eastAsiaTheme="minorEastAsia" w:cstheme="minorEastAsia"/>
          <w:szCs w:val="21"/>
        </w:rPr>
      </w:pPr>
    </w:p>
    <w:p>
      <w:pPr>
        <w:ind w:firstLine="0" w:firstLineChars="0"/>
        <w:rPr>
          <w:rFonts w:asciiTheme="minorEastAsia" w:hAnsiTheme="minorEastAsia" w:eastAsiaTheme="minorEastAsia" w:cstheme="minorEastAsia"/>
          <w:szCs w:val="21"/>
        </w:rPr>
      </w:pPr>
    </w:p>
    <w:p>
      <w:pPr>
        <w:pStyle w:val="2"/>
        <w:rPr>
          <w:rFonts w:asciiTheme="minorEastAsia" w:hAnsiTheme="minorEastAsia" w:eastAsiaTheme="minorEastAsia" w:cstheme="minorEastAsia"/>
        </w:rPr>
      </w:pPr>
      <w:r>
        <w:rPr>
          <w:rFonts w:hint="eastAsia"/>
        </w:rPr>
        <w:t>六、政策建议</w:t>
      </w:r>
    </w:p>
    <w:p>
      <w:pPr>
        <w:rPr>
          <w:szCs w:val="21"/>
        </w:rPr>
      </w:pPr>
      <w:r>
        <w:rPr>
          <w:szCs w:val="21"/>
        </w:rPr>
        <w:t>根据</w:t>
      </w:r>
      <w:r>
        <w:rPr>
          <w:rFonts w:hint="eastAsia"/>
          <w:szCs w:val="21"/>
          <w:lang w:val="en-US" w:eastAsia="zh-CN"/>
        </w:rPr>
        <w:t>本文提出的社会主义市场经济理论微观和宏观基础数学模型</w:t>
      </w:r>
      <w:r>
        <w:rPr>
          <w:szCs w:val="21"/>
        </w:rPr>
        <w:t>，本文</w:t>
      </w:r>
      <w:r>
        <w:rPr>
          <w:rFonts w:hint="eastAsia"/>
          <w:szCs w:val="21"/>
        </w:rPr>
        <w:t>提出</w:t>
      </w:r>
      <w:r>
        <w:rPr>
          <w:szCs w:val="21"/>
        </w:rPr>
        <w:t>如下政策建议。</w:t>
      </w:r>
    </w:p>
    <w:p>
      <w:pPr>
        <w:rPr>
          <w:szCs w:val="21"/>
        </w:rPr>
      </w:pPr>
      <w:r>
        <w:rPr>
          <w:szCs w:val="21"/>
        </w:rPr>
        <w:t>（一）让自由市场成为社会存量资产优化配置的最重要手段。</w:t>
      </w:r>
    </w:p>
    <w:p>
      <w:pPr>
        <w:rPr>
          <w:szCs w:val="21"/>
        </w:rPr>
      </w:pPr>
      <w:r>
        <w:rPr>
          <w:szCs w:val="21"/>
        </w:rPr>
        <w:t>1. 清除各种影响劳动力</w:t>
      </w:r>
      <w:r>
        <w:rPr>
          <w:rFonts w:hint="eastAsia"/>
          <w:szCs w:val="21"/>
        </w:rPr>
        <w:t>等生产要素</w:t>
      </w:r>
      <w:r>
        <w:rPr>
          <w:szCs w:val="21"/>
        </w:rPr>
        <w:t>自由流动的障碍，最大程度实现劳动力</w:t>
      </w:r>
      <w:r>
        <w:rPr>
          <w:rFonts w:hint="eastAsia"/>
          <w:szCs w:val="21"/>
        </w:rPr>
        <w:t>等生产要素</w:t>
      </w:r>
      <w:r>
        <w:rPr>
          <w:szCs w:val="21"/>
        </w:rPr>
        <w:t>自由竞争。中国改革开放取得巨大成功最重要的原因之一是各单位解除了对劳动力</w:t>
      </w:r>
      <w:r>
        <w:rPr>
          <w:rFonts w:hint="eastAsia"/>
          <w:szCs w:val="21"/>
        </w:rPr>
        <w:t>等生产要素</w:t>
      </w:r>
      <w:r>
        <w:rPr>
          <w:szCs w:val="21"/>
        </w:rPr>
        <w:t>的流动管制。</w:t>
      </w:r>
    </w:p>
    <w:p>
      <w:pPr>
        <w:rPr>
          <w:szCs w:val="21"/>
        </w:rPr>
      </w:pPr>
      <w:r>
        <w:rPr>
          <w:szCs w:val="21"/>
        </w:rPr>
        <w:t>2. 土地</w:t>
      </w:r>
      <w:r>
        <w:rPr>
          <w:rFonts w:hint="eastAsia"/>
          <w:szCs w:val="21"/>
        </w:rPr>
        <w:t>、</w:t>
      </w:r>
      <w:r>
        <w:rPr>
          <w:szCs w:val="21"/>
        </w:rPr>
        <w:t>空间</w:t>
      </w:r>
      <w:r>
        <w:rPr>
          <w:rFonts w:hint="eastAsia"/>
          <w:szCs w:val="21"/>
        </w:rPr>
        <w:t>、</w:t>
      </w:r>
      <w:r>
        <w:rPr>
          <w:szCs w:val="21"/>
        </w:rPr>
        <w:t>海洋和矿产等政府掌握的社会公共资源向私人部门转让使用权时，应该进行市场化拍卖。</w:t>
      </w:r>
    </w:p>
    <w:p>
      <w:pPr>
        <w:rPr>
          <w:szCs w:val="21"/>
        </w:rPr>
      </w:pPr>
      <w:r>
        <w:rPr>
          <w:szCs w:val="21"/>
        </w:rPr>
        <w:t>（二）优化私人部门投资与政府部门投资的关系</w:t>
      </w:r>
    </w:p>
    <w:p>
      <w:pPr>
        <w:rPr>
          <w:szCs w:val="21"/>
        </w:rPr>
      </w:pPr>
      <w:r>
        <w:rPr>
          <w:szCs w:val="21"/>
        </w:rPr>
        <w:t>1. 能直接实现盈利的项目由私人部门投资，让市场竞争选出最优秀的经营主体。</w:t>
      </w:r>
    </w:p>
    <w:p>
      <w:pPr>
        <w:rPr>
          <w:szCs w:val="21"/>
        </w:rPr>
      </w:pPr>
      <w:r>
        <w:rPr>
          <w:szCs w:val="21"/>
        </w:rPr>
        <w:t>2. 对提高经济禀赋有意义但不宜盈利的项目由政府投资，发挥政府货币财政资金来源相对充足的优势。</w:t>
      </w:r>
    </w:p>
    <w:p>
      <w:pPr>
        <w:rPr>
          <w:szCs w:val="21"/>
        </w:rPr>
      </w:pPr>
      <w:r>
        <w:rPr>
          <w:szCs w:val="21"/>
        </w:rPr>
        <w:t>3. 实践中私人部门投资和政府投资不一定有明确的界限，应保证各种体制经济主体公平竞争。</w:t>
      </w:r>
    </w:p>
    <w:p>
      <w:pPr>
        <w:rPr>
          <w:szCs w:val="21"/>
        </w:rPr>
      </w:pPr>
      <w:r>
        <w:rPr>
          <w:szCs w:val="21"/>
        </w:rPr>
        <w:t xml:space="preserve"> （三）用足政府投资政策空间，最大程度改善民众生活和提高经济体禀赋。</w:t>
      </w:r>
    </w:p>
    <w:p>
      <w:pPr>
        <w:rPr>
          <w:szCs w:val="21"/>
        </w:rPr>
      </w:pPr>
      <w:r>
        <w:rPr>
          <w:szCs w:val="21"/>
        </w:rPr>
        <w:fldChar w:fldCharType="begin"/>
      </w:r>
      <w:r>
        <w:rPr>
          <w:szCs w:val="21"/>
        </w:rPr>
        <w:instrText xml:space="preserve"> = 1 \* GB1 \* MERGEFORMAT </w:instrText>
      </w:r>
      <w:r>
        <w:rPr>
          <w:szCs w:val="21"/>
        </w:rPr>
        <w:fldChar w:fldCharType="separate"/>
      </w:r>
      <w:r>
        <w:rPr>
          <w:rFonts w:hint="eastAsia" w:ascii="宋体" w:hAnsi="宋体" w:cs="宋体"/>
        </w:rPr>
        <w:t>⒈</w:t>
      </w:r>
      <w:r>
        <w:rPr>
          <w:szCs w:val="21"/>
        </w:rPr>
        <w:fldChar w:fldCharType="end"/>
      </w:r>
      <w:r>
        <w:rPr>
          <w:szCs w:val="21"/>
        </w:rPr>
        <w:t xml:space="preserve"> 树立知识是第一生产力信念，持续扩大高校博士生和教授规模，让中国从普通劳动力红利、工程师红利升级为科学家红利；让中国最终成为全球科学与技术研究中心和全球高科技产业中心。</w:t>
      </w:r>
    </w:p>
    <w:p>
      <w:pPr>
        <w:rPr>
          <w:szCs w:val="21"/>
        </w:rPr>
      </w:pPr>
      <w:r>
        <w:rPr>
          <w:szCs w:val="21"/>
        </w:rPr>
        <w:fldChar w:fldCharType="begin"/>
      </w:r>
      <w:r>
        <w:rPr>
          <w:szCs w:val="21"/>
        </w:rPr>
        <w:instrText xml:space="preserve"> = 2 \* GB1 \* MERGEFORMAT </w:instrText>
      </w:r>
      <w:r>
        <w:rPr>
          <w:szCs w:val="21"/>
        </w:rPr>
        <w:fldChar w:fldCharType="separate"/>
      </w:r>
      <w:r>
        <w:rPr>
          <w:rFonts w:hint="eastAsia" w:ascii="宋体" w:hAnsi="宋体" w:cs="宋体"/>
        </w:rPr>
        <w:t>⒉</w:t>
      </w:r>
      <w:r>
        <w:rPr>
          <w:szCs w:val="21"/>
        </w:rPr>
        <w:fldChar w:fldCharType="end"/>
      </w:r>
      <w:r>
        <w:rPr>
          <w:szCs w:val="21"/>
        </w:rPr>
        <w:t xml:space="preserve"> 免除社保缴费，降低企业成本，提高国内企业国际竞争力。社保支出为政府支出，政府财政由货币发行平衡。</w:t>
      </w:r>
    </w:p>
    <w:p>
      <w:pPr>
        <w:rPr>
          <w:szCs w:val="21"/>
        </w:rPr>
      </w:pPr>
      <w:r>
        <w:rPr>
          <w:szCs w:val="21"/>
        </w:rPr>
        <w:fldChar w:fldCharType="begin"/>
      </w:r>
      <w:r>
        <w:rPr>
          <w:szCs w:val="21"/>
        </w:rPr>
        <w:instrText xml:space="preserve"> = 3 \* GB1 \* MERGEFORMAT </w:instrText>
      </w:r>
      <w:r>
        <w:rPr>
          <w:szCs w:val="21"/>
        </w:rPr>
        <w:fldChar w:fldCharType="separate"/>
      </w:r>
      <w:r>
        <w:rPr>
          <w:rFonts w:hint="eastAsia" w:ascii="宋体" w:hAnsi="宋体" w:cs="宋体"/>
        </w:rPr>
        <w:t>⒊</w:t>
      </w:r>
      <w:r>
        <w:rPr>
          <w:szCs w:val="21"/>
        </w:rPr>
        <w:fldChar w:fldCharType="end"/>
      </w:r>
      <w:r>
        <w:rPr>
          <w:szCs w:val="21"/>
        </w:rPr>
        <w:t xml:space="preserve"> 条件成熟时实行免费医疗和免费教育，适量建设保障性住房和特色小区，适量建设休闲娱乐设施，持续精准扶贫，最大程度实现全社会共同富裕。</w:t>
      </w:r>
    </w:p>
    <w:p>
      <w:pPr>
        <w:rPr>
          <w:szCs w:val="21"/>
        </w:rPr>
      </w:pPr>
      <w:r>
        <w:rPr>
          <w:szCs w:val="21"/>
        </w:rPr>
        <w:t>（四）完善国际经济政策</w:t>
      </w:r>
    </w:p>
    <w:p>
      <w:pPr>
        <w:rPr>
          <w:szCs w:val="21"/>
        </w:rPr>
      </w:pPr>
      <w:r>
        <w:rPr>
          <w:szCs w:val="21"/>
        </w:rPr>
        <w:fldChar w:fldCharType="begin"/>
      </w:r>
      <w:r>
        <w:rPr>
          <w:szCs w:val="21"/>
        </w:rPr>
        <w:instrText xml:space="preserve"> = 1 \* GB1 \* MERGEFORMAT </w:instrText>
      </w:r>
      <w:r>
        <w:rPr>
          <w:szCs w:val="21"/>
        </w:rPr>
        <w:fldChar w:fldCharType="separate"/>
      </w:r>
      <w:r>
        <w:rPr>
          <w:rFonts w:hint="eastAsia" w:ascii="宋体" w:hAnsi="宋体" w:cs="宋体"/>
        </w:rPr>
        <w:t>⒈</w:t>
      </w:r>
      <w:r>
        <w:rPr>
          <w:szCs w:val="21"/>
        </w:rPr>
        <w:fldChar w:fldCharType="end"/>
      </w:r>
      <w:r>
        <w:rPr>
          <w:szCs w:val="21"/>
        </w:rPr>
        <w:t xml:space="preserve"> 管理私人部门跨境资本流动、对外投资和融资，保证社会公共财富不流失到国外，这是政府管理的市场经济赖以成立的前提。</w:t>
      </w:r>
    </w:p>
    <w:p>
      <w:pPr>
        <w:widowControl/>
        <w:jc w:val="left"/>
        <w:rPr>
          <w:szCs w:val="21"/>
        </w:rPr>
      </w:pPr>
      <w:r>
        <w:rPr>
          <w:szCs w:val="21"/>
        </w:rPr>
        <w:fldChar w:fldCharType="begin"/>
      </w:r>
      <w:r>
        <w:rPr>
          <w:szCs w:val="21"/>
        </w:rPr>
        <w:instrText xml:space="preserve"> = 2 \* GB1 \* MERGEFORMAT </w:instrText>
      </w:r>
      <w:r>
        <w:rPr>
          <w:szCs w:val="21"/>
        </w:rPr>
        <w:fldChar w:fldCharType="separate"/>
      </w:r>
      <w:r>
        <w:rPr>
          <w:rFonts w:hint="eastAsia" w:ascii="宋体" w:hAnsi="宋体" w:cs="宋体"/>
        </w:rPr>
        <w:t>⒉</w:t>
      </w:r>
      <w:r>
        <w:rPr>
          <w:szCs w:val="21"/>
        </w:rPr>
        <w:fldChar w:fldCharType="end"/>
      </w:r>
      <w:r>
        <w:rPr>
          <w:szCs w:val="21"/>
        </w:rPr>
        <w:t xml:space="preserve"> 制定合理的汇率与进出口关税，提高国内企业国际竞争力，促进国内产业技术升级，提高经济体禀赋。</w:t>
      </w:r>
    </w:p>
    <w:p>
      <w:pPr>
        <w:rPr>
          <w:szCs w:val="21"/>
        </w:rPr>
      </w:pPr>
    </w:p>
    <w:p>
      <w:pPr>
        <w:rPr>
          <w:szCs w:val="21"/>
        </w:rPr>
      </w:pPr>
      <w:r>
        <w:rPr>
          <w:szCs w:val="21"/>
        </w:rPr>
        <w:t xml:space="preserve">Abstract: Based on the discourse of Karl Marx and several leaders of Chinese Communist Party , including General Secretary Xi Jinping, on socialist market economy, and the research achievements of neoclassical and Keynesian schools ，the paper proposes </w:t>
      </w:r>
      <w:r>
        <w:rPr>
          <w:rFonts w:hint="eastAsia"/>
          <w:szCs w:val="21"/>
          <w:lang w:val="en-US" w:eastAsia="zh-CN"/>
        </w:rPr>
        <w:t>two</w:t>
      </w:r>
      <w:r>
        <w:rPr>
          <w:szCs w:val="21"/>
        </w:rPr>
        <w:t xml:space="preserve"> model</w:t>
      </w:r>
      <w:r>
        <w:rPr>
          <w:rFonts w:hint="eastAsia"/>
          <w:szCs w:val="21"/>
          <w:lang w:val="en-US" w:eastAsia="zh-CN"/>
        </w:rPr>
        <w:t>s</w:t>
      </w:r>
      <w:r>
        <w:rPr>
          <w:szCs w:val="21"/>
        </w:rPr>
        <w:t xml:space="preserve"> of socialist market economy , including a micro model  and a macro model. The paper discusses the methodology and </w:t>
      </w:r>
      <w:r>
        <w:rPr>
          <w:rFonts w:hint="eastAsia"/>
          <w:szCs w:val="21"/>
          <w:lang w:val="en-US" w:eastAsia="zh-CN"/>
        </w:rPr>
        <w:t xml:space="preserve">underlying </w:t>
      </w:r>
      <w:r>
        <w:rPr>
          <w:szCs w:val="21"/>
        </w:rPr>
        <w:t xml:space="preserve">assumption of </w:t>
      </w:r>
      <w:r>
        <w:rPr>
          <w:rFonts w:hint="eastAsia"/>
          <w:szCs w:val="21"/>
          <w:lang w:val="en-US" w:eastAsia="zh-CN"/>
        </w:rPr>
        <w:t xml:space="preserve">economic </w:t>
      </w:r>
      <w:bookmarkStart w:id="4" w:name="_GoBack"/>
      <w:bookmarkEnd w:id="4"/>
      <w:r>
        <w:rPr>
          <w:szCs w:val="21"/>
        </w:rPr>
        <w:t xml:space="preserve">science，pointing out that some </w:t>
      </w:r>
      <w:r>
        <w:rPr>
          <w:rFonts w:hint="eastAsia"/>
          <w:szCs w:val="21"/>
          <w:lang w:val="en-US" w:eastAsia="zh-CN"/>
        </w:rPr>
        <w:t>underlying</w:t>
      </w:r>
      <w:r>
        <w:rPr>
          <w:szCs w:val="21"/>
        </w:rPr>
        <w:t xml:space="preserve"> assumptions of the Arrow-Debreu general equilibrium model 、 Solow economic growth  model and the Hicks IS-LM model are too strong. </w:t>
      </w:r>
      <w:r>
        <w:rPr>
          <w:rFonts w:hint="eastAsia"/>
          <w:szCs w:val="21"/>
        </w:rPr>
        <w:t>The paper proposes three underlying assumptions as the micro model of market economy.</w:t>
      </w:r>
      <w:r>
        <w:rPr>
          <w:rFonts w:hint="eastAsia"/>
          <w:szCs w:val="21"/>
          <w:lang w:val="en-US" w:eastAsia="zh-CN"/>
        </w:rPr>
        <w:t xml:space="preserve"> </w:t>
      </w:r>
      <w:r>
        <w:rPr>
          <w:szCs w:val="21"/>
        </w:rPr>
        <w:t xml:space="preserve">The macroeconomic model of government-managed market economy in this paper can avoid financial crises due to the government's monetary system, and can smooth economic fluctuations and maximize </w:t>
      </w:r>
      <w:r>
        <w:rPr>
          <w:rFonts w:hint="eastAsia"/>
          <w:szCs w:val="21"/>
          <w:lang w:val="en-US" w:eastAsia="zh-CN"/>
        </w:rPr>
        <w:t>t</w:t>
      </w:r>
      <w:r>
        <w:rPr>
          <w:szCs w:val="21"/>
        </w:rPr>
        <w:t>he potential for economic growth through government investment and other monetary and fiscal policies. The control of inflation is the constraint of government policies in this macro model, and the management of cross-border capital flows in the private sector is the premise on which it is established. This paper provides a qualitative interpretation for China's significant achievements in economics and scientific research over the past forty years, as well as several other important economic realities and theoretical issues.</w:t>
      </w:r>
    </w:p>
    <w:p>
      <w:pPr>
        <w:ind w:firstLine="210" w:firstLineChars="100"/>
        <w:rPr>
          <w:szCs w:val="21"/>
        </w:rPr>
      </w:pPr>
      <w:r>
        <w:t>Keywords: Socialism; Marxism;Government-managed; model; Economy endowment; Cross-border capital flows.</w:t>
      </w:r>
      <w:r>
        <w:cr/>
      </w:r>
    </w:p>
    <w:p>
      <w:pPr>
        <w:rPr>
          <w:rFonts w:hint="eastAsia"/>
          <w:szCs w:val="21"/>
        </w:rPr>
      </w:pPr>
    </w:p>
    <w:p>
      <w:pPr>
        <w:widowControl/>
        <w:ind w:firstLine="0" w:firstLineChars="0"/>
        <w:jc w:val="left"/>
        <w:rPr>
          <w:rStyle w:val="43"/>
          <w:rFonts w:cstheme="minorBidi"/>
          <w:bCs w:val="0"/>
          <w:i w:val="0"/>
          <w:iCs w:val="0"/>
          <w:kern w:val="28"/>
          <w:sz w:val="18"/>
          <w:szCs w:val="32"/>
        </w:rPr>
      </w:pPr>
      <w:r>
        <w:rPr>
          <w:rStyle w:val="43"/>
          <w:i w:val="0"/>
          <w:iCs w:val="0"/>
        </w:rPr>
        <w:br w:type="page"/>
      </w:r>
    </w:p>
    <w:p>
      <w:pPr>
        <w:pStyle w:val="14"/>
        <w:ind w:firstLine="381"/>
        <w:rPr>
          <w:rStyle w:val="43"/>
          <w:bCs w:val="0"/>
          <w:i w:val="0"/>
          <w:iCs w:val="0"/>
        </w:rPr>
      </w:pPr>
      <w:r>
        <w:rPr>
          <w:rStyle w:val="43"/>
          <w:rFonts w:hint="eastAsia"/>
          <w:bCs w:val="0"/>
          <w:i w:val="0"/>
          <w:iCs w:val="0"/>
        </w:rPr>
        <w:t>参考文献</w:t>
      </w:r>
    </w:p>
    <w:p>
      <w:pPr>
        <w:pStyle w:val="34"/>
        <w:ind w:firstLine="400"/>
      </w:pPr>
      <w:r>
        <w:rPr>
          <w:rFonts w:hint="eastAsia"/>
        </w:rPr>
        <w:t xml:space="preserve">丁春燕. (2008). 商业银行不良资产剥离问题研究综述. </w:t>
      </w:r>
      <w:r>
        <w:rPr>
          <w:rFonts w:hint="eastAsia"/>
          <w:i/>
        </w:rPr>
        <w:t>时代经贸(中旬刊)</w:t>
      </w:r>
      <w:r>
        <w:rPr>
          <w:rFonts w:hint="eastAsia"/>
        </w:rPr>
        <w:t xml:space="preserve">(S3), 199-201. </w:t>
      </w:r>
    </w:p>
    <w:p>
      <w:pPr>
        <w:pStyle w:val="34"/>
        <w:ind w:firstLine="400"/>
      </w:pPr>
      <w:r>
        <w:rPr>
          <w:rFonts w:hint="eastAsia"/>
        </w:rPr>
        <w:t xml:space="preserve">付才辉. (2018). 最优生产函数理论——从新古典经济学向新结构经济学的范式转换. </w:t>
      </w:r>
      <w:r>
        <w:rPr>
          <w:rFonts w:hint="eastAsia"/>
          <w:i/>
        </w:rPr>
        <w:t>经济评论</w:t>
      </w:r>
      <w:r>
        <w:rPr>
          <w:rFonts w:hint="eastAsia"/>
        </w:rPr>
        <w:t xml:space="preserve">(01), 3-46. </w:t>
      </w:r>
    </w:p>
    <w:p>
      <w:pPr>
        <w:pStyle w:val="34"/>
        <w:ind w:firstLine="400"/>
      </w:pPr>
      <w:r>
        <w:rPr>
          <w:rFonts w:hint="eastAsia"/>
        </w:rPr>
        <w:t xml:space="preserve">洪永淼. (2021). 理解现代计量经济学. </w:t>
      </w:r>
      <w:r>
        <w:rPr>
          <w:rFonts w:hint="eastAsia"/>
          <w:i/>
        </w:rPr>
        <w:t>计量经济学报, 1</w:t>
      </w:r>
      <w:r>
        <w:rPr>
          <w:rFonts w:hint="eastAsia"/>
        </w:rPr>
        <w:t xml:space="preserve">(02), 266-284. </w:t>
      </w:r>
    </w:p>
    <w:p>
      <w:pPr>
        <w:pStyle w:val="34"/>
        <w:ind w:firstLine="400"/>
      </w:pPr>
      <w:r>
        <w:rPr>
          <w:rFonts w:hint="eastAsia"/>
        </w:rPr>
        <w:t xml:space="preserve">林毅夫. (2011). 新结构经济学——重构发展经济学的框架. </w:t>
      </w:r>
      <w:r>
        <w:rPr>
          <w:rFonts w:hint="eastAsia"/>
          <w:i/>
        </w:rPr>
        <w:t>经济学,</w:t>
      </w:r>
      <w:r>
        <w:rPr>
          <w:i/>
        </w:rPr>
        <w:t xml:space="preserve"> 10</w:t>
      </w:r>
      <w:r>
        <w:t>(01), 1-32. doi:10.13821/j.cnki.ceq.2011.01.014</w:t>
      </w:r>
      <w:r>
        <w:rPr>
          <w:rFonts w:hint="eastAsia"/>
        </w:rPr>
        <w:t>.</w:t>
      </w:r>
    </w:p>
    <w:p>
      <w:pPr>
        <w:pStyle w:val="34"/>
        <w:ind w:firstLine="400"/>
      </w:pPr>
      <w:r>
        <w:rPr>
          <w:rFonts w:hint="eastAsia"/>
        </w:rPr>
        <w:t xml:space="preserve">林毅夫. (2014). 林毅夫:有效市场与有为政府. </w:t>
      </w:r>
      <w:r>
        <w:rPr>
          <w:rFonts w:hint="eastAsia"/>
          <w:i/>
        </w:rPr>
        <w:t>记者观察, No.357</w:t>
      </w:r>
      <w:r>
        <w:rPr>
          <w:rFonts w:hint="eastAsia"/>
        </w:rPr>
        <w:t xml:space="preserve">(01), 62-63. </w:t>
      </w:r>
    </w:p>
    <w:p>
      <w:pPr>
        <w:pStyle w:val="34"/>
        <w:ind w:firstLine="400"/>
        <w:rPr>
          <w:rFonts w:hint="eastAsia"/>
        </w:rPr>
      </w:pPr>
      <w:r>
        <w:rPr>
          <w:rFonts w:hint="eastAsia"/>
        </w:rPr>
        <w:t>马克思.</w:t>
      </w:r>
      <w:r>
        <w:t xml:space="preserve"> (1972). </w:t>
      </w:r>
      <w:r>
        <w:rPr>
          <w:rFonts w:hint="eastAsia"/>
        </w:rPr>
        <w:t>资本论: 第1卷. 北京: 人民出版社, 1972. 95</w:t>
      </w:r>
      <w:r>
        <w:t>.</w:t>
      </w:r>
    </w:p>
    <w:p>
      <w:pPr>
        <w:pStyle w:val="34"/>
        <w:ind w:firstLine="400"/>
      </w:pPr>
      <w:r>
        <w:rPr>
          <w:rFonts w:hint="eastAsia"/>
        </w:rPr>
        <w:t xml:space="preserve">田国强. (2016). 再论有限政府和有为政府. In </w:t>
      </w:r>
      <w:r>
        <w:rPr>
          <w:rFonts w:hint="eastAsia"/>
          <w:i/>
        </w:rPr>
        <w:t>第一财经日报</w:t>
      </w:r>
      <w:r>
        <w:rPr>
          <w:rFonts w:hint="eastAsia"/>
        </w:rPr>
        <w:t>: 上海财经大学.</w:t>
      </w:r>
    </w:p>
    <w:p>
      <w:pPr>
        <w:pStyle w:val="34"/>
        <w:ind w:firstLine="400"/>
      </w:pPr>
      <w:r>
        <w:rPr>
          <w:rFonts w:hint="eastAsia"/>
        </w:rPr>
        <w:t xml:space="preserve">田国强. (2017). 争议产业政策——有限政府,有为政府? </w:t>
      </w:r>
      <w:r>
        <w:rPr>
          <w:rFonts w:hint="eastAsia"/>
          <w:i/>
        </w:rPr>
        <w:t>领导决策信息, No.1050</w:t>
      </w:r>
      <w:r>
        <w:rPr>
          <w:rFonts w:hint="eastAsia"/>
        </w:rPr>
        <w:t xml:space="preserve">(05), 18-19. </w:t>
      </w:r>
    </w:p>
    <w:p>
      <w:pPr>
        <w:pStyle w:val="34"/>
        <w:ind w:firstLine="400"/>
      </w:pPr>
      <w:r>
        <w:rPr>
          <w:rFonts w:hint="eastAsia"/>
        </w:rPr>
        <w:t xml:space="preserve">习近平. (2001). 对发展社会主义市场经济的再认识. </w:t>
      </w:r>
      <w:r>
        <w:rPr>
          <w:rFonts w:hint="eastAsia"/>
          <w:i/>
        </w:rPr>
        <w:t>东南学术</w:t>
      </w:r>
      <w:r>
        <w:rPr>
          <w:rFonts w:hint="eastAsia"/>
        </w:rPr>
        <w:t>(04), 26-38</w:t>
      </w:r>
    </w:p>
    <w:p>
      <w:pPr>
        <w:pStyle w:val="34"/>
        <w:ind w:firstLine="400"/>
      </w:pPr>
      <w:r>
        <w:fldChar w:fldCharType="begin"/>
      </w:r>
      <w:r>
        <w:instrText xml:space="preserve"> ADDIN EN.REFLIST </w:instrText>
      </w:r>
      <w:r>
        <w:fldChar w:fldCharType="separate"/>
      </w:r>
      <w:r>
        <w:t xml:space="preserve">Adb, A. A., Furceri, D., et al. (2016). The macroeconomic effects of public investment: Evidence from advanced economies. </w:t>
      </w:r>
      <w:r>
        <w:rPr>
          <w:i/>
        </w:rPr>
        <w:t>Journal of Macroeconomics, 50</w:t>
      </w:r>
      <w:r>
        <w:t xml:space="preserve">, 224-240. </w:t>
      </w:r>
    </w:p>
    <w:p>
      <w:pPr>
        <w:pStyle w:val="34"/>
        <w:ind w:firstLine="400"/>
      </w:pPr>
      <w:r>
        <w:t xml:space="preserve">Arrow, K. J. (1971). The economic implications of learning by doing. In </w:t>
      </w:r>
      <w:r>
        <w:rPr>
          <w:i/>
        </w:rPr>
        <w:t>Readings in the Theory of Growth</w:t>
      </w:r>
      <w:r>
        <w:t xml:space="preserve"> (pp. 131-149): Springer.</w:t>
      </w:r>
    </w:p>
    <w:p>
      <w:pPr>
        <w:pStyle w:val="34"/>
        <w:ind w:firstLine="400"/>
      </w:pPr>
      <w:r>
        <w:t xml:space="preserve">Arrow, K. J., and Debreu, G. (1954). Existence of an equilibrium for a competitive economy. </w:t>
      </w:r>
      <w:r>
        <w:rPr>
          <w:i/>
        </w:rPr>
        <w:t>Econometrica: Journal of the Econometric Society</w:t>
      </w:r>
      <w:r>
        <w:t xml:space="preserve">, 265-290. </w:t>
      </w:r>
    </w:p>
    <w:p>
      <w:pPr>
        <w:pStyle w:val="34"/>
        <w:ind w:firstLine="400"/>
      </w:pPr>
      <w:r>
        <w:t xml:space="preserve">Ball, L. M., and Mankiw, N. G. (2021). </w:t>
      </w:r>
      <w:r>
        <w:rPr>
          <w:i/>
        </w:rPr>
        <w:t>Market power in neoclassical growth models</w:t>
      </w:r>
      <w:r>
        <w:t xml:space="preserve">. Retrieved from </w:t>
      </w:r>
    </w:p>
    <w:p>
      <w:pPr>
        <w:pStyle w:val="34"/>
        <w:ind w:firstLine="400"/>
      </w:pPr>
      <w:r>
        <w:t xml:space="preserve">Bernanke, B. S. (2012, 2012). </w:t>
      </w:r>
      <w:r>
        <w:rPr>
          <w:i/>
        </w:rPr>
        <w:t>Monetary Policy since the Onset of the Crisis</w:t>
      </w:r>
      <w:r>
        <w:t>.</w:t>
      </w:r>
    </w:p>
    <w:p>
      <w:pPr>
        <w:pStyle w:val="34"/>
        <w:ind w:firstLine="400"/>
      </w:pPr>
      <w:r>
        <w:t>Einstein, A. (</w:t>
      </w:r>
      <w:r>
        <w:rPr>
          <w:rFonts w:hint="eastAsia"/>
        </w:rPr>
        <w:t>1952</w:t>
      </w:r>
      <w:r>
        <w:t xml:space="preserve">). </w:t>
      </w:r>
      <w:r>
        <w:rPr>
          <w:i/>
        </w:rPr>
        <w:t>Letters to Solovine, 1906–1955</w:t>
      </w:r>
      <w:r>
        <w:t>: Open Road Media.</w:t>
      </w:r>
    </w:p>
    <w:p>
      <w:pPr>
        <w:pStyle w:val="34"/>
        <w:ind w:firstLine="400"/>
      </w:pPr>
      <w:r>
        <w:rPr>
          <w:rFonts w:hint="eastAsia"/>
        </w:rPr>
        <w:t>Douglas Paul H. (1976)</w:t>
      </w:r>
      <w:r>
        <w:t xml:space="preserve">. </w:t>
      </w:r>
      <w:r>
        <w:rPr>
          <w:rFonts w:hint="eastAsia"/>
        </w:rPr>
        <w:t>The Cobb-Douglas Production Function Once Again:Its History，Its Testing, and Some New Empirical Values. Journal of Political Economy,Vol.84,No.5,October</w:t>
      </w:r>
      <w:r>
        <w:t>.</w:t>
      </w:r>
    </w:p>
    <w:p>
      <w:pPr>
        <w:pStyle w:val="34"/>
        <w:ind w:firstLine="400"/>
      </w:pPr>
      <w:r>
        <w:t xml:space="preserve">Fernández-Villaverde, J. (2010). The econometrics of DSGE models. </w:t>
      </w:r>
      <w:r>
        <w:rPr>
          <w:i/>
        </w:rPr>
        <w:t>SERIEs, 1</w:t>
      </w:r>
      <w:r>
        <w:t xml:space="preserve">(1), 3-49. </w:t>
      </w:r>
    </w:p>
    <w:p>
      <w:pPr>
        <w:pStyle w:val="34"/>
        <w:ind w:firstLine="400"/>
      </w:pPr>
      <w:r>
        <w:t xml:space="preserve">Friedman, M. (1953). </w:t>
      </w:r>
      <w:r>
        <w:rPr>
          <w:i/>
        </w:rPr>
        <w:t>Essays in positive economics</w:t>
      </w:r>
      <w:r>
        <w:t>: University of Chicago press.</w:t>
      </w:r>
    </w:p>
    <w:p>
      <w:pPr>
        <w:pStyle w:val="34"/>
        <w:ind w:firstLine="400"/>
      </w:pPr>
      <w:r>
        <w:t xml:space="preserve">Grauwe, P. D. (2010). The banking crisis: causes, consequences and remedies. In </w:t>
      </w:r>
      <w:r>
        <w:rPr>
          <w:i/>
        </w:rPr>
        <w:t>The Global Crash</w:t>
      </w:r>
      <w:r>
        <w:t xml:space="preserve"> (pp. 10-31): Springer.</w:t>
      </w:r>
    </w:p>
    <w:p>
      <w:pPr>
        <w:pStyle w:val="34"/>
        <w:ind w:firstLine="400"/>
      </w:pPr>
      <w:r>
        <w:t xml:space="preserve">Hicks, J. R. (1937). Mr. Keynes and the" classics"; a suggested interpretation. </w:t>
      </w:r>
      <w:r>
        <w:rPr>
          <w:i/>
        </w:rPr>
        <w:t>Econometrica: Journal of the Econometric Society</w:t>
      </w:r>
      <w:r>
        <w:t xml:space="preserve">, 147-159. </w:t>
      </w:r>
    </w:p>
    <w:p>
      <w:pPr>
        <w:pStyle w:val="34"/>
        <w:ind w:firstLine="400"/>
      </w:pPr>
      <w:r>
        <w:t xml:space="preserve">House, C. L., and Masatlioglu, Y. (2010). </w:t>
      </w:r>
      <w:r>
        <w:rPr>
          <w:i/>
        </w:rPr>
        <w:t>Managing markets for toxic assets</w:t>
      </w:r>
      <w:r>
        <w:t xml:space="preserve">. Retrieved from </w:t>
      </w:r>
    </w:p>
    <w:p>
      <w:pPr>
        <w:pStyle w:val="34"/>
        <w:ind w:firstLine="400"/>
      </w:pPr>
      <w:r>
        <w:t xml:space="preserve">Keynes, J. M. (1937). The general theory of employment. </w:t>
      </w:r>
      <w:r>
        <w:rPr>
          <w:i/>
        </w:rPr>
        <w:t>The quarterly journal of economics, 51</w:t>
      </w:r>
      <w:r>
        <w:t xml:space="preserve">(2), 209-223. </w:t>
      </w:r>
    </w:p>
    <w:p>
      <w:pPr>
        <w:pStyle w:val="34"/>
        <w:ind w:firstLine="400"/>
      </w:pPr>
      <w:r>
        <w:t xml:space="preserve">Krugman, P. (1979). A model of balance-of-payments crises. </w:t>
      </w:r>
      <w:r>
        <w:rPr>
          <w:i/>
        </w:rPr>
        <w:t>Journal of money, credit and banking, 11</w:t>
      </w:r>
      <w:r>
        <w:t xml:space="preserve">(3), 311-325. </w:t>
      </w:r>
    </w:p>
    <w:p>
      <w:pPr>
        <w:pStyle w:val="34"/>
        <w:ind w:firstLine="400"/>
      </w:pPr>
      <w:r>
        <w:t xml:space="preserve">Lucas Jr, R. E. (1975). An equilibrium model of the business cycle. </w:t>
      </w:r>
      <w:r>
        <w:rPr>
          <w:i/>
        </w:rPr>
        <w:t>Journal of political economy, 83</w:t>
      </w:r>
      <w:r>
        <w:t xml:space="preserve">(6), 1113-1144. </w:t>
      </w:r>
    </w:p>
    <w:p>
      <w:pPr>
        <w:pStyle w:val="34"/>
        <w:ind w:firstLine="400"/>
      </w:pPr>
      <w:r>
        <w:t xml:space="preserve">Lucas Jr, R. E. (1988). On the mechanics of economic development. </w:t>
      </w:r>
      <w:r>
        <w:rPr>
          <w:i/>
        </w:rPr>
        <w:t>Journal of monetary economics, 22</w:t>
      </w:r>
      <w:r>
        <w:t xml:space="preserve">(1), 3-42. </w:t>
      </w:r>
    </w:p>
    <w:p>
      <w:pPr>
        <w:pStyle w:val="34"/>
        <w:ind w:firstLine="400"/>
      </w:pPr>
      <w:r>
        <w:t xml:space="preserve">Phillips, A. W. (1958). The relation between unemployment and the rate of change of money wage rates in the United Kingdom, 1861-1957. </w:t>
      </w:r>
      <w:r>
        <w:rPr>
          <w:i/>
        </w:rPr>
        <w:t>economica, 25</w:t>
      </w:r>
      <w:r>
        <w:t xml:space="preserve">(100), 283-299. </w:t>
      </w:r>
    </w:p>
    <w:p>
      <w:pPr>
        <w:pStyle w:val="34"/>
        <w:ind w:firstLine="400"/>
      </w:pPr>
      <w:r>
        <w:t xml:space="preserve">Romer, P. M. (1990). Endogenous technological change. </w:t>
      </w:r>
      <w:r>
        <w:rPr>
          <w:i/>
        </w:rPr>
        <w:t>Journal of political economy, 98</w:t>
      </w:r>
      <w:r>
        <w:t xml:space="preserve">(5, Part 2), S71-S102. </w:t>
      </w:r>
    </w:p>
    <w:p>
      <w:pPr>
        <w:pStyle w:val="34"/>
        <w:ind w:firstLine="400"/>
      </w:pPr>
      <w:r>
        <w:t xml:space="preserve">Samuelson, P. A., and Nordhaus, W. D. (2012). </w:t>
      </w:r>
      <w:r>
        <w:rPr>
          <w:i/>
        </w:rPr>
        <w:t>Economía</w:t>
      </w:r>
      <w:r>
        <w:t>: AMGH Editora.</w:t>
      </w:r>
    </w:p>
    <w:p>
      <w:pPr>
        <w:pStyle w:val="34"/>
        <w:ind w:firstLine="400"/>
      </w:pPr>
      <w:r>
        <w:t>Smith, A. (1776). An inquiry into the nature and causes of the wealth of nations: Volume One. In: London: printed for W. Strahan; and T. Cadell, 1776.</w:t>
      </w:r>
    </w:p>
    <w:p>
      <w:pPr>
        <w:pStyle w:val="34"/>
        <w:ind w:firstLine="400"/>
      </w:pPr>
      <w:r>
        <w:t xml:space="preserve">Solow, R. M. (1956). A contribution to the theory of economic growth. </w:t>
      </w:r>
      <w:r>
        <w:rPr>
          <w:i/>
        </w:rPr>
        <w:t>The quarterly journal of economics, 70</w:t>
      </w:r>
      <w:r>
        <w:t xml:space="preserve">(1), 65-94. </w:t>
      </w:r>
    </w:p>
    <w:p>
      <w:pPr>
        <w:pStyle w:val="34"/>
        <w:ind w:firstLine="400"/>
      </w:pPr>
      <w:r>
        <w:t>Solow, R. M. (195</w:t>
      </w:r>
      <w:r>
        <w:rPr>
          <w:rFonts w:hint="eastAsia"/>
        </w:rPr>
        <w:t>7</w:t>
      </w:r>
      <w:r>
        <w:t xml:space="preserve">). </w:t>
      </w:r>
      <w:r>
        <w:rPr>
          <w:rFonts w:hint="eastAsia"/>
        </w:rPr>
        <w:t>Technical Change and the Aggregate Production Function</w:t>
      </w:r>
      <w:r>
        <w:t xml:space="preserve">. </w:t>
      </w:r>
      <w:r>
        <w:rPr>
          <w:rFonts w:hint="eastAsia"/>
        </w:rPr>
        <w:t>The Review of Economics and Statistics</w:t>
      </w:r>
      <w:r>
        <w:rPr>
          <w:i/>
        </w:rPr>
        <w:t xml:space="preserve">, </w:t>
      </w:r>
      <w:r>
        <w:rPr>
          <w:rFonts w:hint="eastAsia"/>
          <w:i/>
        </w:rPr>
        <w:t>Vol.39,No.3(Aug.,1957)，PP312-320</w:t>
      </w:r>
      <w:r>
        <w:t xml:space="preserve">. </w:t>
      </w:r>
    </w:p>
    <w:p>
      <w:pPr>
        <w:pStyle w:val="34"/>
        <w:ind w:firstLine="400"/>
      </w:pPr>
      <w:r>
        <w:t xml:space="preserve">Wald, A. (1951). On some systems of equations of mathematical economics. </w:t>
      </w:r>
      <w:r>
        <w:rPr>
          <w:i/>
        </w:rPr>
        <w:t>Econometrica: Journal of the Econometric Society</w:t>
      </w:r>
      <w:r>
        <w:t xml:space="preserve">, 368-403. </w:t>
      </w:r>
    </w:p>
    <w:p>
      <w:pPr>
        <w:pStyle w:val="34"/>
        <w:ind w:firstLine="400"/>
      </w:pPr>
      <w:r>
        <w:t xml:space="preserve">Zhukovskiy, V. I., and Kudryavtsev, K. N. (2016). Pareto-optimal Nash equilibrium: Sufficient conditions and existence in mixed strategies. </w:t>
      </w:r>
      <w:r>
        <w:rPr>
          <w:i/>
        </w:rPr>
        <w:t>Automation and Remote Control, 77</w:t>
      </w:r>
      <w:r>
        <w:t xml:space="preserve">(8), 1500-1510. </w:t>
      </w:r>
    </w:p>
    <w:p>
      <w:pPr>
        <w:pStyle w:val="24"/>
        <w:ind w:firstLine="420"/>
      </w:pPr>
      <w:r>
        <w:fldChar w:fldCharType="end"/>
      </w:r>
      <w:bookmarkEnd w:id="1"/>
      <w:r>
        <w:br w:type="page"/>
      </w:r>
    </w:p>
    <w:p>
      <w:pPr>
        <w:pStyle w:val="16"/>
      </w:pPr>
      <w:r>
        <w:rPr>
          <w:rFonts w:hint="eastAsia"/>
        </w:rPr>
        <w:t>附录</w:t>
      </w:r>
    </w:p>
    <w:p>
      <w:pPr>
        <w:pStyle w:val="2"/>
      </w:pPr>
      <w:r>
        <w:rPr>
          <w:rFonts w:hint="eastAsia"/>
        </w:rPr>
        <w:t>附录</w:t>
      </w:r>
      <w:r>
        <w:rPr>
          <w:rFonts w:hint="eastAsia"/>
        </w:rPr>
        <w:fldChar w:fldCharType="begin"/>
      </w:r>
      <w:r>
        <w:rPr>
          <w:rFonts w:hint="eastAsia"/>
        </w:rPr>
        <w:instrText xml:space="preserve"> = 1 \* Arabic \* MERGEFORMAT </w:instrText>
      </w:r>
      <w:r>
        <w:rPr>
          <w:rFonts w:hint="eastAsia"/>
        </w:rPr>
        <w:fldChar w:fldCharType="separate"/>
      </w:r>
      <w:r>
        <w:t>1</w:t>
      </w:r>
      <w:r>
        <w:rPr>
          <w:rFonts w:hint="eastAsia"/>
        </w:rPr>
        <w:fldChar w:fldCharType="end"/>
      </w:r>
      <w:r>
        <w:t xml:space="preserve"> </w:t>
      </w:r>
      <w:r>
        <w:rPr>
          <w:rFonts w:hint="eastAsia"/>
        </w:rPr>
        <w:t>投资品商品交换不存在竞争性均衡</w:t>
      </w:r>
    </w:p>
    <w:p>
      <w:pPr>
        <w:rPr>
          <w:lang w:bidi="ar"/>
        </w:rPr>
      </w:pPr>
      <w:r>
        <w:t>投资品商品交换是否存在竞争性均衡是一个主观判断问题，只有把投资品商品交换这个客观问题主观定义清楚，才能回答这个问题。本文对投资品的定义为：</w:t>
      </w:r>
      <w:r>
        <w:rPr>
          <w:rFonts w:asciiTheme="minorEastAsia" w:hAnsiTheme="minorEastAsia" w:eastAsiaTheme="minorEastAsia" w:cstheme="minorEastAsia"/>
        </w:rPr>
        <w:t>被交换的次数为无限次的商品为投资品</w:t>
      </w:r>
      <w:r>
        <w:rPr>
          <w:rFonts w:hint="eastAsia" w:asciiTheme="minorEastAsia" w:hAnsiTheme="minorEastAsia" w:eastAsiaTheme="minorEastAsia" w:cstheme="minorEastAsia"/>
        </w:rPr>
        <w:t>商品</w:t>
      </w:r>
      <w:r>
        <w:rPr>
          <w:rFonts w:asciiTheme="minorEastAsia" w:hAnsiTheme="minorEastAsia" w:eastAsiaTheme="minorEastAsia" w:cstheme="minorEastAsia"/>
        </w:rPr>
        <w:t>。</w:t>
      </w:r>
      <w:r>
        <w:rPr>
          <w:rFonts w:hint="eastAsia"/>
          <w:lang w:bidi="ar"/>
        </w:rPr>
        <w:t>萨缪尔</w:t>
      </w:r>
      <w:r>
        <w:rPr>
          <w:lang w:bidi="ar"/>
        </w:rPr>
        <w:t>森</w:t>
      </w:r>
      <w:r>
        <w:rPr>
          <w:rFonts w:hint="eastAsia"/>
          <w:lang w:bidi="ar"/>
        </w:rPr>
        <w:t>(2012)对</w:t>
      </w:r>
      <w:r>
        <w:rPr>
          <w:lang w:bidi="ar"/>
        </w:rPr>
        <w:t>消费品</w:t>
      </w:r>
      <w:r>
        <w:rPr>
          <w:rFonts w:hint="eastAsia"/>
          <w:lang w:bidi="ar"/>
        </w:rPr>
        <w:t>效用的</w:t>
      </w:r>
      <w:r>
        <w:rPr>
          <w:lang w:bidi="ar"/>
        </w:rPr>
        <w:t>定义是</w:t>
      </w:r>
      <w:r>
        <w:rPr>
          <w:rFonts w:hint="eastAsia"/>
          <w:lang w:bidi="ar"/>
        </w:rPr>
        <w:t>：效用是一种满意度，反映消费者对商品和服务的排序。把萨缪尔</w:t>
      </w:r>
      <w:r>
        <w:rPr>
          <w:lang w:bidi="ar"/>
        </w:rPr>
        <w:t>森</w:t>
      </w:r>
      <w:r>
        <w:rPr>
          <w:rFonts w:hint="eastAsia"/>
          <w:lang w:bidi="ar"/>
        </w:rPr>
        <w:t>关于效用的定义从消费品扩展到投资品</w:t>
      </w:r>
      <w:r>
        <w:rPr>
          <w:lang w:bidi="ar"/>
        </w:rPr>
        <w:t>，本文</w:t>
      </w:r>
      <w:r>
        <w:rPr>
          <w:rFonts w:hint="eastAsia"/>
          <w:lang w:bidi="ar"/>
        </w:rPr>
        <w:t>对投资品效用的定义为：投资品效用是一种满意度，反映投资者对某项投资品的评级和排序。</w:t>
      </w:r>
    </w:p>
    <w:p>
      <w:pPr>
        <w:rPr>
          <w:lang w:bidi="ar"/>
        </w:rPr>
      </w:pPr>
      <w:r>
        <w:rPr>
          <w:lang w:bidi="ar"/>
        </w:rPr>
        <w:t>本文</w:t>
      </w:r>
      <w:r>
        <w:rPr>
          <w:rFonts w:hint="eastAsia"/>
          <w:lang w:bidi="ar"/>
        </w:rPr>
        <w:t>假设不同投资者对同一</w:t>
      </w:r>
      <w:r>
        <w:rPr>
          <w:lang w:bidi="ar"/>
        </w:rPr>
        <w:t>个</w:t>
      </w:r>
      <w:r>
        <w:rPr>
          <w:rFonts w:hint="eastAsia"/>
          <w:lang w:bidi="ar"/>
        </w:rPr>
        <w:t>投资品的主观价值判断不同，并且同一投资者不同时间对同一投资品效用的主观价值判断不同，即投资者对一个投资品效用的主观价值判断是动态变化的。</w:t>
      </w:r>
    </w:p>
    <w:p>
      <w:pPr>
        <w:rPr>
          <w:lang w:bidi="ar"/>
        </w:rPr>
      </w:pPr>
      <w:r>
        <w:rPr>
          <w:lang w:bidi="ar"/>
        </w:rPr>
        <w:t>根据上述对投资品商品交易的定义和假设，本文认为投资品商品交换不存在竞争性均衡，具体阐述过程如下：</w:t>
      </w:r>
    </w:p>
    <w:p>
      <w:pPr>
        <w:rPr>
          <w:lang w:bidi="ar"/>
        </w:rPr>
      </w:pPr>
      <w:r>
        <w:rPr>
          <w:lang w:bidi="ar"/>
        </w:rPr>
        <w:t>因为</w:t>
      </w:r>
      <w:r>
        <w:rPr>
          <w:rFonts w:hint="eastAsia"/>
          <w:lang w:bidi="ar"/>
        </w:rPr>
        <w:t>不同投资者对同一</w:t>
      </w:r>
      <w:r>
        <w:rPr>
          <w:lang w:bidi="ar"/>
        </w:rPr>
        <w:t>个</w:t>
      </w:r>
      <w:r>
        <w:rPr>
          <w:rFonts w:hint="eastAsia"/>
          <w:lang w:bidi="ar"/>
        </w:rPr>
        <w:t>投资品的主观价值判断不同，并且同一投资者不同时间对同一投资品效用的主观价值判断不同</w:t>
      </w:r>
      <w:r>
        <w:rPr>
          <w:lang w:bidi="ar"/>
        </w:rPr>
        <w:t>，因此不同时刻投资品的供应曲线和需求曲线不同，其成交价格不同，</w:t>
      </w:r>
      <w:r>
        <w:rPr>
          <w:rFonts w:hint="eastAsia"/>
          <w:lang w:bidi="ar"/>
        </w:rPr>
        <w:t>如图1-1。</w:t>
      </w:r>
    </w:p>
    <w:p>
      <w:pPr>
        <w:widowControl/>
        <w:ind w:leftChars="-50" w:hanging="105" w:hangingChars="50"/>
        <w:jc w:val="center"/>
        <w:rPr>
          <w:lang w:bidi="ar"/>
        </w:rPr>
      </w:pPr>
      <w:r>
        <w:rPr>
          <w:lang w:bidi="ar"/>
        </w:rPr>
        <w:drawing>
          <wp:inline distT="0" distB="0" distL="0" distR="0">
            <wp:extent cx="2332355" cy="2018030"/>
            <wp:effectExtent l="0" t="0" r="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a:extLst>
                        <a:ext uri="{28A0092B-C50C-407E-A947-70E740481C1C}">
                          <a14:useLocalDpi xmlns:a14="http://schemas.microsoft.com/office/drawing/2010/main" val="0"/>
                        </a:ext>
                      </a:extLst>
                    </a:blip>
                    <a:srcRect l="23000" t="23257" r="32694" b="8598"/>
                    <a:stretch>
                      <a:fillRect/>
                    </a:stretch>
                  </pic:blipFill>
                  <pic:spPr>
                    <a:xfrm>
                      <a:off x="0" y="0"/>
                      <a:ext cx="2332355" cy="2018140"/>
                    </a:xfrm>
                    <a:prstGeom prst="rect">
                      <a:avLst/>
                    </a:prstGeom>
                    <a:noFill/>
                    <a:ln>
                      <a:noFill/>
                    </a:ln>
                  </pic:spPr>
                </pic:pic>
              </a:graphicData>
            </a:graphic>
          </wp:inline>
        </w:drawing>
      </w:r>
    </w:p>
    <w:p>
      <w:pPr>
        <w:pStyle w:val="5"/>
        <w:ind w:firstLine="360"/>
        <w:rPr>
          <w:lang w:bidi="ar"/>
        </w:rPr>
      </w:pPr>
      <w:r>
        <w:rPr>
          <w:rFonts w:hint="eastAsia"/>
          <w:lang w:bidi="ar"/>
        </w:rPr>
        <w:t>图1-</w:t>
      </w:r>
      <w:r>
        <w:rPr>
          <w:lang w:bidi="ar"/>
        </w:rPr>
        <w:t xml:space="preserve">1 </w:t>
      </w:r>
      <w:r>
        <w:rPr>
          <w:rFonts w:hint="eastAsia"/>
          <w:lang w:bidi="ar"/>
        </w:rPr>
        <w:t>投资品的需求与供应曲线</w:t>
      </w:r>
    </w:p>
    <w:p>
      <w:pPr>
        <w:rPr>
          <w:lang w:bidi="ar"/>
        </w:rPr>
      </w:pPr>
      <w:r>
        <w:rPr>
          <w:lang w:bidi="ar"/>
        </w:rPr>
        <w:t>这样，</w:t>
      </w:r>
      <w:r>
        <w:rPr>
          <w:rFonts w:hint="eastAsia"/>
          <w:lang w:bidi="ar"/>
        </w:rPr>
        <w:t>投资品商品交易不存在一个均衡价格，当</w:t>
      </w:r>
      <w:r>
        <w:rPr>
          <w:lang w:bidi="ar"/>
        </w:rPr>
        <w:t>投资品</w:t>
      </w:r>
      <w:r>
        <w:rPr>
          <w:rFonts w:hint="eastAsia"/>
          <w:lang w:bidi="ar"/>
        </w:rPr>
        <w:t>交易价格偏离</w:t>
      </w:r>
      <w:r>
        <w:rPr>
          <w:lang w:bidi="ar"/>
        </w:rPr>
        <w:t>其</w:t>
      </w:r>
      <w:r>
        <w:rPr>
          <w:rFonts w:hint="eastAsia"/>
          <w:lang w:bidi="ar"/>
        </w:rPr>
        <w:t>均衡价格时市场交换能</w:t>
      </w:r>
      <w:r>
        <w:rPr>
          <w:lang w:bidi="ar"/>
        </w:rPr>
        <w:t>使偏离的</w:t>
      </w:r>
      <w:r>
        <w:rPr>
          <w:rFonts w:hint="eastAsia"/>
          <w:lang w:bidi="ar"/>
        </w:rPr>
        <w:t>交易价格回到均衡价格。</w:t>
      </w:r>
      <w:r>
        <w:rPr>
          <w:lang w:bidi="ar"/>
        </w:rPr>
        <w:t>经济</w:t>
      </w:r>
      <w:r>
        <w:rPr>
          <w:rFonts w:hint="eastAsia"/>
          <w:lang w:bidi="ar"/>
        </w:rPr>
        <w:t>现实中的股票，外汇，黄金等投资品商品交换比较</w:t>
      </w:r>
      <w:r>
        <w:rPr>
          <w:lang w:bidi="ar"/>
        </w:rPr>
        <w:t>符合图1-1的情形，</w:t>
      </w:r>
      <w:r>
        <w:rPr>
          <w:rFonts w:hint="eastAsia"/>
          <w:lang w:bidi="ar"/>
        </w:rPr>
        <w:t>因此</w:t>
      </w:r>
      <w:r>
        <w:rPr>
          <w:lang w:bidi="ar"/>
        </w:rPr>
        <w:t>本</w:t>
      </w:r>
      <w:r>
        <w:rPr>
          <w:rFonts w:hint="eastAsia"/>
          <w:lang w:bidi="ar"/>
        </w:rPr>
        <w:t>附录认为投资品商品交换不存在竞争性均衡。</w:t>
      </w:r>
    </w:p>
    <w:p>
      <w:pPr>
        <w:widowControl/>
        <w:ind w:leftChars="-50" w:hanging="105" w:hangingChars="50"/>
        <w:rPr>
          <w:rFonts w:ascii="宋体" w:hAnsi="宋体" w:cs="宋体"/>
        </w:rPr>
      </w:pPr>
    </w:p>
    <w:p>
      <w:pPr>
        <w:pStyle w:val="2"/>
      </w:pPr>
      <w:r>
        <w:rPr>
          <w:rFonts w:hint="eastAsia"/>
        </w:rPr>
        <w:t>附录</w:t>
      </w:r>
      <w:r>
        <w:rPr>
          <w:rFonts w:hint="eastAsia"/>
        </w:rPr>
        <w:fldChar w:fldCharType="begin"/>
      </w:r>
      <w:r>
        <w:rPr>
          <w:rFonts w:hint="eastAsia"/>
        </w:rPr>
        <w:instrText xml:space="preserve"> = 2 \* Arabic \* MERGEFORMAT </w:instrText>
      </w:r>
      <w:r>
        <w:rPr>
          <w:rFonts w:hint="eastAsia"/>
        </w:rPr>
        <w:fldChar w:fldCharType="separate"/>
      </w:r>
      <w:r>
        <w:t>2</w:t>
      </w:r>
      <w:r>
        <w:rPr>
          <w:rFonts w:hint="eastAsia"/>
        </w:rPr>
        <w:fldChar w:fldCharType="end"/>
      </w:r>
      <w:r>
        <w:t xml:space="preserve"> </w:t>
      </w:r>
      <w:r>
        <w:rPr>
          <w:rFonts w:hint="eastAsia"/>
        </w:rPr>
        <w:t>商品生产不存在</w:t>
      </w:r>
      <w:r>
        <w:t>帕累托</w:t>
      </w:r>
      <w:r>
        <w:rPr>
          <w:rFonts w:hint="eastAsia"/>
        </w:rPr>
        <w:t>优化竞争性均衡</w:t>
      </w:r>
    </w:p>
    <w:p>
      <w:pPr>
        <w:widowControl/>
        <w:jc w:val="left"/>
      </w:pPr>
      <w:r>
        <w:t>同投资品商品交换是否存在竞争性均衡的问题一样，商品生产是否存在帕累托优化竞争性均衡是一个主观问题，只有把商品生产这个客观问题主观定义清楚，才能回答这个问题。</w:t>
      </w:r>
    </w:p>
    <w:p>
      <w:pPr>
        <w:widowControl/>
        <w:jc w:val="left"/>
      </w:pPr>
      <w:r>
        <w:t>阿罗和德布鲁模型关于商品生产存在优化竞争性均衡的条件是每一种商品的生产都符合封闭凸性子集的要求。</w:t>
      </w:r>
    </w:p>
    <w:p>
      <w:pPr>
        <w:widowControl/>
        <w:jc w:val="left"/>
      </w:pPr>
      <w:r>
        <w:t>单个产品生产函数的凸性（convex）指上凸，如图附录2-1，用数学表示为：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m:sty m:val="p"/>
                </m:rPr>
                <w:rPr>
                  <w:rFonts w:ascii="Cambria Math" w:hAnsi="Cambria Math"/>
                </w:rPr>
                <m:t>f(</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oMath>
            <w:r>
              <w:t>+λf(</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2</m:t>
                  </m:r>
                  <m:ctrlPr>
                    <w:rPr>
                      <w:rFonts w:ascii="Cambria Math" w:hAnsi="Cambria Math"/>
                      <w:i/>
                    </w:rPr>
                  </m:ctrlPr>
                </m:sub>
              </m:sSub>
            </m:oMath>
            <w:r>
              <w:t>)&lt;f(</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1</m:t>
                  </m:r>
                  <m:ctrlPr>
                    <w:rPr>
                      <w:rFonts w:ascii="Cambria Math" w:hAnsi="Cambria Math"/>
                      <w:i/>
                    </w:rPr>
                  </m:ctrlPr>
                </m:sub>
              </m:sSub>
            </m:oMath>
            <w:r>
              <w:t>+λ</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2</m:t>
                  </m:r>
                  <m:ctrlPr>
                    <w:rPr>
                      <w:rFonts w:ascii="Cambria Math" w:hAnsi="Cambria Math"/>
                      <w:i/>
                    </w:rPr>
                  </m:ctrlPr>
                </m:sub>
              </m:sSub>
            </m:oMath>
            <w:r>
              <w:t>)  (任何λ&gt;0，</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1</m:t>
                  </m:r>
                  <m:ctrlPr>
                    <w:rPr>
                      <w:rFonts w:ascii="Cambria Math" w:hAnsi="Cambria Math"/>
                      <w:i/>
                    </w:rPr>
                  </m:ctrlPr>
                </m:sub>
              </m:sSub>
            </m:oMath>
            <w:r>
              <w:t xml:space="preserve">&gt;0, </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2</m:t>
                  </m:r>
                  <m:ctrlPr>
                    <w:rPr>
                      <w:rFonts w:ascii="Cambria Math" w:hAnsi="Cambria Math"/>
                      <w:i/>
                    </w:rPr>
                  </m:ctrlPr>
                </m:sub>
              </m:sSub>
            </m:oMath>
            <w:r>
              <w:t xml:space="preserve">&gt;0)   </w:t>
            </w:r>
          </w:p>
        </w:tc>
        <w:tc>
          <w:tcPr>
            <w:tcW w:w="930" w:type="dxa"/>
            <w:vAlign w:val="center"/>
          </w:tcPr>
          <w:p>
            <w:pPr>
              <w:ind w:firstLine="0" w:firstLineChars="0"/>
              <w:jc w:val="right"/>
            </w:pPr>
            <w:r>
              <w:t>(2-1)</w:t>
            </w:r>
          </w:p>
        </w:tc>
      </w:tr>
    </w:tbl>
    <w:p>
      <w:pPr>
        <w:widowControl/>
        <w:jc w:val="center"/>
        <w:rPr>
          <w:szCs w:val="21"/>
        </w:rPr>
      </w:pPr>
      <w:r>
        <w:rPr>
          <w:szCs w:val="21"/>
        </w:rPr>
        <w:drawing>
          <wp:inline distT="0" distB="0" distL="0" distR="0">
            <wp:extent cx="2308860" cy="18288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7">
                      <a:extLst>
                        <a:ext uri="{28A0092B-C50C-407E-A947-70E740481C1C}">
                          <a14:useLocalDpi xmlns:a14="http://schemas.microsoft.com/office/drawing/2010/main" val="0"/>
                        </a:ext>
                      </a:extLst>
                    </a:blip>
                    <a:srcRect l="21423" t="26052" r="34713" b="12199"/>
                    <a:stretch>
                      <a:fillRect/>
                    </a:stretch>
                  </pic:blipFill>
                  <pic:spPr>
                    <a:xfrm>
                      <a:off x="0" y="0"/>
                      <a:ext cx="2310163" cy="1829551"/>
                    </a:xfrm>
                    <a:prstGeom prst="rect">
                      <a:avLst/>
                    </a:prstGeom>
                    <a:noFill/>
                    <a:ln>
                      <a:noFill/>
                    </a:ln>
                  </pic:spPr>
                </pic:pic>
              </a:graphicData>
            </a:graphic>
          </wp:inline>
        </w:drawing>
      </w:r>
    </w:p>
    <w:p>
      <w:pPr>
        <w:pStyle w:val="5"/>
        <w:ind w:firstLine="360"/>
        <w:rPr>
          <w:rFonts w:eastAsia="宋体"/>
          <w:lang w:bidi="ar"/>
        </w:rPr>
      </w:pPr>
      <w:r>
        <w:rPr>
          <w:rFonts w:eastAsia="宋体"/>
          <w:lang w:bidi="ar"/>
        </w:rPr>
        <w:t>图2-1 单个产品生产函数曲线图</w:t>
      </w:r>
    </w:p>
    <w:p>
      <w:pPr>
        <w:widowControl/>
        <w:jc w:val="left"/>
        <w:rPr>
          <w:szCs w:val="21"/>
        </w:rPr>
      </w:pPr>
      <w:r>
        <w:rPr>
          <w:szCs w:val="21"/>
        </w:rPr>
        <w:t>假设有两个生产厂家，厂家1和厂家2，分别用原材料</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oMath>
      <w:r>
        <w:rPr>
          <w:szCs w:val="21"/>
        </w:rPr>
        <w:t>和</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 xml:space="preserve"> 生产商品f(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oMath>
      <w:r>
        <w:rPr>
          <w:szCs w:val="21"/>
        </w:rPr>
        <w:t>) 和f(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)，两厂家合计的生产函数为f(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)，当某时刻厂家2的产品销售不出去时，两厂家合计的生产函数f(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)就突然掉下来如附录图2-2。</w:t>
      </w:r>
    </w:p>
    <w:p>
      <w:pPr>
        <w:widowControl/>
        <w:ind w:left="210" w:leftChars="100" w:firstLine="210" w:firstLineChars="100"/>
        <w:jc w:val="center"/>
        <w:rPr>
          <w:szCs w:val="21"/>
        </w:rPr>
      </w:pPr>
      <w:r>
        <w:rPr>
          <w:szCs w:val="21"/>
        </w:rPr>
        <w:drawing>
          <wp:inline distT="0" distB="0" distL="0" distR="0">
            <wp:extent cx="2410460" cy="1858010"/>
            <wp:effectExtent l="0" t="0" r="889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8">
                      <a:extLst>
                        <a:ext uri="{28A0092B-C50C-407E-A947-70E740481C1C}">
                          <a14:useLocalDpi xmlns:a14="http://schemas.microsoft.com/office/drawing/2010/main" val="0"/>
                        </a:ext>
                      </a:extLst>
                    </a:blip>
                    <a:srcRect l="22554" t="25250" r="31645" b="12000"/>
                    <a:stretch>
                      <a:fillRect/>
                    </a:stretch>
                  </pic:blipFill>
                  <pic:spPr>
                    <a:xfrm>
                      <a:off x="0" y="0"/>
                      <a:ext cx="2412225" cy="1859192"/>
                    </a:xfrm>
                    <a:prstGeom prst="rect">
                      <a:avLst/>
                    </a:prstGeom>
                    <a:noFill/>
                    <a:ln>
                      <a:noFill/>
                    </a:ln>
                  </pic:spPr>
                </pic:pic>
              </a:graphicData>
            </a:graphic>
          </wp:inline>
        </w:drawing>
      </w:r>
    </w:p>
    <w:p>
      <w:pPr>
        <w:pStyle w:val="5"/>
        <w:ind w:firstLine="360"/>
        <w:rPr>
          <w:rFonts w:eastAsia="宋体"/>
          <w:lang w:bidi="ar"/>
        </w:rPr>
      </w:pPr>
      <w:r>
        <w:rPr>
          <w:rFonts w:eastAsia="宋体"/>
          <w:lang w:bidi="ar"/>
        </w:rPr>
        <w:t>图2-2 两产品生产函数曲线图</w:t>
      </w:r>
    </w:p>
    <w:p>
      <w:pPr>
        <w:widowControl/>
        <w:ind w:left="210" w:leftChars="100"/>
        <w:jc w:val="left"/>
        <w:rPr>
          <w:szCs w:val="21"/>
        </w:rPr>
      </w:pPr>
      <w:r>
        <w:rPr>
          <w:szCs w:val="21"/>
        </w:rPr>
        <w:t>这种情况下，两厂家合计的生产函数f(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不满足凸性要求。把两家生产厂家扩大到n家，只要有一家生产厂家存在产品销售不出去的情况，该产品的合计生产函数曲线就不满足凸性子集的要求。这样，只要商品生产竞争存在产品销售不出去的情况，则商品生产函数曲线不满足凸性子集要求。</w:t>
      </w:r>
    </w:p>
    <w:p>
      <w:pPr>
        <w:widowControl/>
        <w:jc w:val="left"/>
      </w:pPr>
      <w:r>
        <w:rPr>
          <w:szCs w:val="21"/>
        </w:rPr>
        <w:t>下面通过</w:t>
      </w:r>
      <w:r>
        <w:t>三种典型的商品生产竞争模型分析指出商品生产竞争存在产品销售不出去的情况是普遍现象。</w:t>
      </w:r>
    </w:p>
    <w:p>
      <w:pPr>
        <w:widowControl/>
        <w:jc w:val="left"/>
      </w:pPr>
      <w:r>
        <w:t>商品生产竞争数学模型表达的是一种理想状态的商品生产竞争。商品生产竞争有很多种数学模型，这里我们讨论三种典型的商品生产竞争模型，价格共谋，古诺竞争和伯特兰德竞争。通过这三种典型的理想状态的商品生产竞争来估计现实的商品生产竞争状态。</w:t>
      </w:r>
    </w:p>
    <w:p>
      <w:pPr>
        <w:widowControl/>
        <w:jc w:val="left"/>
      </w:pPr>
      <w:r>
        <w:t>价格共谋商品生产数学模型是各厂商之间共谋控制产量以使各厂商的利润最大化，伯特兰德商品生产竞争数学模型是每个厂商都以最可能的低价去竞争以获得全部市场份额，古诺商品生产竞争模型则以竞争对手产量为给定条件寻求自己最佳产量以使自身利润最大化。下面我们分别推导一定理想条件下N个厂商价格共谋，古诺竞争和伯特兰德竞争三类数学模型的各厂商最佳商品销售量和利润。</w:t>
      </w:r>
    </w:p>
    <w:p>
      <w:r>
        <w:t>（1）N个厂商价格共谋数学模型的各厂商的最优价格，最优销量和最优利润。</w:t>
      </w:r>
    </w:p>
    <w:p>
      <w:r>
        <w:t xml:space="preserve">    理想假设每个厂商的边际单位成本都为常数c，商品的需求函数为线性函数：</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 xml:space="preserve"> </w:t>
            </w:r>
            <m:oMath>
              <m:r>
                <m:rPr>
                  <m:sty m:val="p"/>
                </m:rPr>
                <w:rPr>
                  <w:rFonts w:ascii="Cambria Math" w:hAnsi="Cambria Math"/>
                </w:rPr>
                <m:t>P</m:t>
              </m:r>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λQ</m:t>
              </m:r>
            </m:oMath>
          </w:p>
        </w:tc>
        <w:tc>
          <w:tcPr>
            <w:tcW w:w="930" w:type="dxa"/>
            <w:vAlign w:val="center"/>
          </w:tcPr>
          <w:p>
            <w:pPr>
              <w:ind w:firstLine="0" w:firstLineChars="0"/>
              <w:jc w:val="right"/>
            </w:pPr>
            <w:r>
              <w:t>(2-2)</w:t>
            </w:r>
          </w:p>
        </w:tc>
      </w:tr>
    </w:tbl>
    <w:p>
      <w:r>
        <w:t>则价格共谋每个厂商的产量相同：</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sSup>
                    <m:sSupPr>
                      <m:ctrlPr>
                        <w:rPr>
                          <w:rFonts w:ascii="Cambria Math" w:hAnsi="Cambria Math"/>
                          <w:i/>
                        </w:rPr>
                      </m:ctrlPr>
                    </m:sSupPr>
                    <m:e>
                      <m:r>
                        <m:rPr/>
                        <w:rPr>
                          <w:rFonts w:ascii="Cambria Math" w:hAnsi="Cambria Math"/>
                        </w:rPr>
                        <m:t>Q</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sSup>
                    <m:sSupPr>
                      <m:ctrlPr>
                        <w:rPr>
                          <w:rFonts w:ascii="Cambria Math" w:hAnsi="Cambria Math"/>
                          <w:i/>
                        </w:rPr>
                      </m:ctrlPr>
                    </m:sSupPr>
                    <m:e>
                      <m:r>
                        <m:rPr/>
                        <w:rPr>
                          <w:rFonts w:ascii="Cambria Math" w:hAnsi="Cambria Math"/>
                        </w:rPr>
                        <m:t>Q</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sSup>
                    <m:sSupPr>
                      <m:ctrlPr>
                        <w:rPr>
                          <w:rFonts w:ascii="Cambria Math" w:hAnsi="Cambria Math"/>
                          <w:i/>
                        </w:rPr>
                      </m:ctrlPr>
                    </m:sSupPr>
                    <m:e>
                      <m:r>
                        <m:rPr/>
                        <w:rPr>
                          <w:rFonts w:ascii="Cambria Math" w:hAnsi="Cambria Math"/>
                        </w:rPr>
                        <m:t>Q</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n</m:t>
                  </m:r>
                  <m:ctrlPr>
                    <w:rPr>
                      <w:rFonts w:ascii="Cambria Math" w:hAnsi="Cambria Math"/>
                      <w:i/>
                    </w:rPr>
                  </m:ctrlPr>
                </m:sub>
              </m:sSub>
            </m:oMath>
            <w:r>
              <w:t xml:space="preserve"> </w:t>
            </w:r>
          </w:p>
        </w:tc>
        <w:tc>
          <w:tcPr>
            <w:tcW w:w="930" w:type="dxa"/>
            <w:vAlign w:val="center"/>
          </w:tcPr>
          <w:p>
            <w:pPr>
              <w:ind w:firstLine="0" w:firstLineChars="0"/>
              <w:jc w:val="right"/>
            </w:pPr>
            <w:r>
              <w:t>(2-3)</w:t>
            </w:r>
          </w:p>
        </w:tc>
      </w:tr>
    </w:tbl>
    <w:p>
      <w:r>
        <w:t>共谋总产量为：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r>
                <m:rPr>
                  <m:sty m:val="p"/>
                </m:rPr>
                <w:rPr>
                  <w:rFonts w:ascii="Cambria Math" w:hAnsi="Cambria Math"/>
                </w:rPr>
                <m:t>=n</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ctrlPr>
                    <w:rPr>
                      <w:rFonts w:ascii="Cambria Math" w:hAnsi="Cambria Math"/>
                    </w:rPr>
                  </m:ctrlPr>
                </m:e>
                <m:sub>
                  <m:r>
                    <m:rPr>
                      <m:sty m:val="p"/>
                    </m:rPr>
                    <w:rPr>
                      <w:rFonts w:ascii="Cambria Math" w:hAnsi="Cambria Math"/>
                    </w:rPr>
                    <m:t>1</m:t>
                  </m:r>
                  <m:ctrlPr>
                    <w:rPr>
                      <w:rFonts w:ascii="Cambria Math" w:hAnsi="Cambria Math"/>
                    </w:rPr>
                  </m:ctrlPr>
                </m:sub>
              </m:sSub>
            </m:oMath>
            <w:r>
              <w:t xml:space="preserve">  </w:t>
            </w:r>
          </w:p>
        </w:tc>
        <w:tc>
          <w:tcPr>
            <w:tcW w:w="930" w:type="dxa"/>
            <w:vAlign w:val="center"/>
          </w:tcPr>
          <w:p>
            <w:pPr>
              <w:ind w:firstLine="0" w:firstLineChars="0"/>
              <w:jc w:val="right"/>
            </w:pPr>
            <w:r>
              <w:t>(2-4)</w:t>
            </w:r>
          </w:p>
        </w:tc>
      </w:tr>
    </w:tbl>
    <w:p>
      <w:r>
        <w:t>设第一个厂商的利润为：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w:t>
            </w:r>
            <m:oMath>
              <m:d>
                <m:dPr>
                  <m:ctrlPr>
                    <w:rPr>
                      <w:rFonts w:ascii="Cambria Math" w:hAnsi="Cambria Math"/>
                      <w:i/>
                    </w:rPr>
                  </m:ctrlPr>
                </m:dPr>
                <m:e>
                  <m:r>
                    <m:rPr/>
                    <w:rPr>
                      <w:rFonts w:ascii="Cambria Math" w:hAnsi="Cambria Math"/>
                    </w:rPr>
                    <m:t>P</m:t>
                  </m:r>
                  <m:r>
                    <m:rPr/>
                    <w:rPr>
                      <w:rFonts w:ascii="Cambria Math" w:hAnsi="Cambria Math" w:eastAsia="微软雅黑"/>
                    </w:rPr>
                    <m:t>−</m:t>
                  </m:r>
                  <m:r>
                    <m:rPr/>
                    <w:rPr>
                      <w:rFonts w:ascii="Cambria Math" w:hAnsi="Cambria Math"/>
                    </w:rPr>
                    <m:t>c</m:t>
                  </m:r>
                  <m:ctrlPr>
                    <w:rPr>
                      <w:rFonts w:ascii="Cambria Math" w:hAnsi="Cambria Math"/>
                      <w:i/>
                    </w:rPr>
                  </m:ctrlPr>
                </m:e>
              </m:d>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oMath>
            <w:r>
              <w:t xml:space="preserve">  </w:t>
            </w:r>
          </w:p>
        </w:tc>
        <w:tc>
          <w:tcPr>
            <w:tcW w:w="930" w:type="dxa"/>
            <w:vAlign w:val="center"/>
          </w:tcPr>
          <w:p>
            <w:pPr>
              <w:ind w:firstLine="0" w:firstLineChars="0"/>
              <w:jc w:val="right"/>
            </w:pPr>
            <w:r>
              <w:t>(2-5)</w:t>
            </w:r>
          </w:p>
        </w:tc>
      </w:tr>
    </w:tbl>
    <w:p>
      <w:r>
        <w:t>将公式（2-2）代入公式（2-5）得：</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w:t>
            </w:r>
            <m:oMath>
              <m:d>
                <m:dPr>
                  <m:ctrlPr>
                    <w:rPr>
                      <w:rFonts w:ascii="Cambria Math" w:hAnsi="Cambria Math"/>
                      <w:i/>
                    </w:rPr>
                  </m:ctrlPr>
                </m:dPr>
                <m:e>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r>
                    <m:rPr/>
                    <w:rPr>
                      <w:rFonts w:ascii="Cambria Math" w:hAnsi="Cambria Math" w:eastAsia="微软雅黑"/>
                    </w:rPr>
                    <m:t>−</m:t>
                  </m:r>
                  <m:r>
                    <m:rPr/>
                    <w:rPr>
                      <w:rFonts w:ascii="Cambria Math" w:hAnsi="Cambria Math"/>
                    </w:rPr>
                    <m:t>λn</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eastAsia="微软雅黑"/>
                    </w:rPr>
                    <m:t>−</m:t>
                  </m:r>
                  <m:r>
                    <m:rPr/>
                    <w:rPr>
                      <w:rFonts w:ascii="Cambria Math" w:hAnsi="Cambria Math"/>
                    </w:rPr>
                    <m:t>c</m:t>
                  </m:r>
                  <m:ctrlPr>
                    <w:rPr>
                      <w:rFonts w:ascii="Cambria Math" w:hAnsi="Cambria Math"/>
                      <w:i/>
                    </w:rPr>
                  </m:ctrlPr>
                </m:e>
              </m:d>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oMath>
          </w:p>
        </w:tc>
        <w:tc>
          <w:tcPr>
            <w:tcW w:w="930" w:type="dxa"/>
            <w:vAlign w:val="center"/>
          </w:tcPr>
          <w:p>
            <w:pPr>
              <w:ind w:firstLine="0" w:firstLineChars="0"/>
              <w:jc w:val="right"/>
            </w:pPr>
            <w:r>
              <w:t>(2-6)</w:t>
            </w:r>
          </w:p>
        </w:tc>
      </w:tr>
    </w:tbl>
    <w:p>
      <w:r>
        <w:t>共谋厂商根据利润最大化原则确定产量，于是有</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f>
                <m:fPr>
                  <m:ctrlPr>
                    <w:rPr>
                      <w:rFonts w:ascii="Cambria Math" w:hAnsi="Cambria Math"/>
                      <w:i/>
                    </w:rPr>
                  </m:ctrlPr>
                </m:fPr>
                <m:num>
                  <m:r>
                    <m:rPr/>
                    <w:rPr>
                      <w:rFonts w:ascii="Cambria Math" w:hAnsi="Cambria Math"/>
                    </w:rPr>
                    <m:t>∂π</m:t>
                  </m:r>
                  <m:ctrlPr>
                    <w:rPr>
                      <w:rFonts w:ascii="Cambria Math" w:hAnsi="Cambria Math"/>
                      <w:i/>
                    </w:rPr>
                  </m:ctrlPr>
                </m:num>
                <m:den>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den>
              </m:f>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c</m:t>
              </m:r>
            </m:oMath>
            <w:r>
              <w:t>-2</w:t>
            </w:r>
            <m:oMath>
              <m:r>
                <m:rPr>
                  <m:sty m:val="p"/>
                </m:rPr>
                <w:rPr>
                  <w:rFonts w:ascii="Cambria Math" w:hAnsi="Cambria Math"/>
                </w:rPr>
                <m:t>nλ</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r>
              <w:t>=0</w:t>
            </w:r>
          </w:p>
        </w:tc>
        <w:tc>
          <w:tcPr>
            <w:tcW w:w="930" w:type="dxa"/>
            <w:vAlign w:val="center"/>
          </w:tcPr>
          <w:p>
            <w:pPr>
              <w:ind w:firstLine="0" w:firstLineChars="0"/>
              <w:jc w:val="right"/>
            </w:pPr>
            <w:r>
              <w:t>(2-7)</w:t>
            </w:r>
          </w:p>
        </w:tc>
      </w:tr>
    </w:tbl>
    <w:p>
      <w:r>
        <w:t>解得价格共谋数学模型每个厂商的最优产量为：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w:rPr>
                  <w:rFonts w:ascii="Cambria Math" w:hAnsi="Cambria Math"/>
                </w:rPr>
                <m:t xml:space="preserve"> </m:t>
              </m:r>
              <m:sSub>
                <m:sSubPr>
                  <m:ctrlPr>
                    <w:rPr>
                      <w:rFonts w:ascii="Cambria Math" w:hAnsi="Cambria Math"/>
                      <w:i/>
                    </w:rPr>
                  </m:ctrlPr>
                </m:sSubPr>
                <m:e>
                  <m:sSup>
                    <m:sSupPr>
                      <m:ctrlPr>
                        <w:rPr>
                          <w:rFonts w:ascii="Cambria Math" w:hAnsi="Cambria Math"/>
                          <w:i/>
                        </w:rPr>
                      </m:ctrlPr>
                    </m:sSupPr>
                    <m:e>
                      <m:r>
                        <m:rPr/>
                        <w:rPr>
                          <w:rFonts w:ascii="Cambria Math" w:hAnsi="Cambria Math"/>
                        </w:rPr>
                        <m:t>Q</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rPr>
                  </m:ctrlPr>
                </m:sSubPr>
                <m:e>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c</m:t>
                  </m:r>
                  <m:ctrlPr>
                    <w:rPr>
                      <w:rFonts w:ascii="Cambria Math" w:hAnsi="Cambria Math"/>
                    </w:rPr>
                  </m:ctrlPr>
                </m:e>
              </m:d>
              <m:r>
                <m:rPr>
                  <m:sty m:val="p"/>
                </m:rPr>
                <w:rPr>
                  <w:rFonts w:ascii="Cambria Math" w:hAnsi="Cambria Math"/>
                </w:rPr>
                <m:t>/2nλ</m:t>
              </m:r>
            </m:oMath>
          </w:p>
        </w:tc>
        <w:tc>
          <w:tcPr>
            <w:tcW w:w="930" w:type="dxa"/>
            <w:vAlign w:val="center"/>
          </w:tcPr>
          <w:p>
            <w:pPr>
              <w:ind w:firstLine="0" w:firstLineChars="0"/>
              <w:jc w:val="right"/>
            </w:pPr>
            <w:r>
              <w:t>(2-8)</w:t>
            </w:r>
          </w:p>
        </w:tc>
      </w:tr>
    </w:tbl>
    <w:p>
      <w:r>
        <w:t>将（附2-8）代入（附2-2）得价格共谋数学模型的最优价格为：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i/>
                    </w:rPr>
                  </m:ctrlPr>
                </m:sSupPr>
                <m:e>
                  <m:r>
                    <m:rPr/>
                    <w:rPr>
                      <w:rFonts w:ascii="Cambria Math" w:hAnsi="Cambria Math"/>
                    </w:rPr>
                    <m:t>P</m:t>
                  </m:r>
                  <m:ctrlPr>
                    <w:rPr>
                      <w:rFonts w:ascii="Cambria Math" w:hAnsi="Cambria Math"/>
                      <w:i/>
                    </w:rPr>
                  </m:ctrlPr>
                </m:e>
                <m:sup>
                  <m:r>
                    <m:rPr/>
                    <w:rPr>
                      <w:rFonts w:ascii="Cambria Math" w:hAnsi="Cambria Math" w:eastAsia="MS Gothic"/>
                    </w:rPr>
                    <m:t>∗</m:t>
                  </m:r>
                  <m:ctrlPr>
                    <w:rPr>
                      <w:rFonts w:ascii="Cambria Math" w:hAnsi="Cambria Math"/>
                      <w:i/>
                    </w:rPr>
                  </m:ctrlPr>
                </m:sup>
              </m:sSup>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λn</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r>
              <w:t>=</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/2</m:t>
              </m:r>
            </m:oMath>
          </w:p>
        </w:tc>
        <w:tc>
          <w:tcPr>
            <w:tcW w:w="930" w:type="dxa"/>
            <w:vAlign w:val="center"/>
          </w:tcPr>
          <w:p>
            <w:pPr>
              <w:ind w:firstLine="0" w:firstLineChars="0"/>
              <w:jc w:val="right"/>
            </w:pPr>
            <w:r>
              <w:t>(2-9)</w:t>
            </w:r>
          </w:p>
        </w:tc>
      </w:tr>
    </w:tbl>
    <w:p>
      <w:r>
        <w:t>因此价格共谋数学模型每个厂商的最优利润为：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sSup>
                    <m:sSupPr>
                      <m:ctrlPr>
                        <w:rPr>
                          <w:rFonts w:ascii="Cambria Math" w:hAnsi="Cambria Math"/>
                          <w:i/>
                        </w:rPr>
                      </m:ctrlPr>
                    </m:sSupPr>
                    <m:e>
                      <m:r>
                        <m:rPr/>
                        <w:rPr>
                          <w:rFonts w:ascii="Cambria Math" w:hAnsi="Cambria Math"/>
                        </w:rPr>
                        <m:t>π</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i/>
                    </w:rPr>
                  </m:ctrlPr>
                </m:sSubPr>
                <m:e>
                  <m:sSup>
                    <m:sSupPr>
                      <m:ctrlPr>
                        <w:rPr>
                          <w:rFonts w:ascii="Cambria Math" w:hAnsi="Cambria Math"/>
                          <w:i/>
                        </w:rPr>
                      </m:ctrlPr>
                    </m:sSupPr>
                    <m:e>
                      <m:r>
                        <m:rPr/>
                        <w:rPr>
                          <w:rFonts w:ascii="Cambria Math" w:hAnsi="Cambria Math"/>
                        </w:rPr>
                        <m:t>π</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sSup>
                    <m:sSupPr>
                      <m:ctrlPr>
                        <w:rPr>
                          <w:rFonts w:ascii="Cambria Math" w:hAnsi="Cambria Math"/>
                          <w:i/>
                        </w:rPr>
                      </m:ctrlPr>
                    </m:sSupPr>
                    <m:e>
                      <m:r>
                        <m:rPr/>
                        <w:rPr>
                          <w:rFonts w:ascii="Cambria Math" w:hAnsi="Cambria Math"/>
                        </w:rPr>
                        <m:t>π</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N</m:t>
                  </m:r>
                  <m:ctrlPr>
                    <w:rPr>
                      <w:rFonts w:ascii="Cambria Math" w:hAnsi="Cambria Math"/>
                      <w:i/>
                    </w:rPr>
                  </m:ctrlPr>
                </m:sub>
              </m:sSub>
            </m:oMath>
            <w:r>
              <w:t>=</w:t>
            </w:r>
            <m:oMath>
              <m:sSup>
                <m:sSupPr>
                  <m:ctrlPr>
                    <w:rPr>
                      <w:rFonts w:ascii="Cambria Math" w:hAnsi="Cambria Math"/>
                    </w:rPr>
                  </m:ctrlPr>
                </m:sSupPr>
                <m:e>
                  <m:r>
                    <m:rPr>
                      <m:sty m:val="p"/>
                    </m:rPr>
                    <w:rPr>
                      <w:rFonts w:ascii="Cambria Math" w:hAnsi="Cambria Math"/>
                    </w:rPr>
                    <m:t>P</m:t>
                  </m:r>
                  <m:ctrlPr>
                    <w:rPr>
                      <w:rFonts w:ascii="Cambria Math" w:hAnsi="Cambria Math"/>
                    </w:rPr>
                  </m:ctrlPr>
                </m:e>
                <m:sup>
                  <m:r>
                    <m:rPr>
                      <m:sty m:val="p"/>
                    </m:rPr>
                    <w:rPr>
                      <w:rFonts w:ascii="Cambria Math" w:hAnsi="Cambria Math" w:eastAsia="MS Gothic"/>
                    </w:rPr>
                    <m:t>∗</m:t>
                  </m:r>
                  <m:ctrlPr>
                    <w:rPr>
                      <w:rFonts w:ascii="Cambria Math" w:hAnsi="Cambria Math"/>
                    </w:rPr>
                  </m:ctrlPr>
                </m:sup>
              </m:sSup>
              <m:sSub>
                <m:sSubPr>
                  <m:ctrlPr>
                    <w:rPr>
                      <w:rFonts w:ascii="Cambria Math" w:hAnsi="Cambria Math"/>
                    </w:rPr>
                  </m:ctrlPr>
                </m:sSubPr>
                <m:e>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ctrlPr>
                    <w:rPr>
                      <w:rFonts w:ascii="Cambria Math" w:hAnsi="Cambria Math"/>
                    </w:rPr>
                  </m:ctrlPr>
                </m:e>
                <m:sub>
                  <m:r>
                    <m:rPr>
                      <m:sty m:val="p"/>
                    </m:rPr>
                    <w:rPr>
                      <w:rFonts w:ascii="Cambria Math" w:hAnsi="Cambria Math"/>
                    </w:rPr>
                    <m:t>1</m:t>
                  </m:r>
                  <m:ctrlPr>
                    <w:rPr>
                      <w:rFonts w:ascii="Cambria Math" w:hAnsi="Cambria Math"/>
                    </w:rPr>
                  </m:ctrlPr>
                </m:sub>
              </m:sSub>
            </m:oMath>
            <w:r>
              <w:t xml:space="preserve"> =（</w:t>
            </w:r>
            <m:oMath>
              <m:sSup>
                <m:sSupPr>
                  <m:ctrlPr>
                    <w:rPr>
                      <w:rFonts w:ascii="Cambria Math" w:hAnsi="Cambria Math"/>
                      <w:i/>
                    </w:rPr>
                  </m:ctrlPr>
                </m:sSupPr>
                <m:e>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i/>
                    </w:rPr>
                  </m:ctrlPr>
                </m:e>
                <m:sup>
                  <m:r>
                    <m:rPr/>
                    <w:rPr>
                      <w:rFonts w:ascii="Cambria Math" w:hAnsi="Cambria Math"/>
                    </w:rPr>
                    <m:t>2</m:t>
                  </m:r>
                  <m:ctrlPr>
                    <w:rPr>
                      <w:rFonts w:ascii="Cambria Math" w:hAnsi="Cambria Math"/>
                      <w:i/>
                    </w:rPr>
                  </m:ctrlPr>
                </m:sup>
              </m:sSup>
            </m:oMath>
            <w:r>
              <w:t>-</w:t>
            </w:r>
            <m:oMath>
              <m:sSup>
                <m:sSupPr>
                  <m:ctrlPr>
                    <w:rPr>
                      <w:rFonts w:ascii="Cambria Math" w:hAnsi="Cambria Math"/>
                      <w:i/>
                    </w:rPr>
                  </m:ctrlPr>
                </m:sSupPr>
                <m:e>
                  <m:r>
                    <m:rPr/>
                    <w:rPr>
                      <w:rFonts w:ascii="Cambria Math" w:hAnsi="Cambria Math"/>
                    </w:rPr>
                    <m:t>c</m:t>
                  </m:r>
                  <m:ctrlPr>
                    <w:rPr>
                      <w:rFonts w:ascii="Cambria Math" w:hAnsi="Cambria Math"/>
                      <w:i/>
                    </w:rPr>
                  </m:ctrlPr>
                </m:e>
                <m:sup>
                  <m:r>
                    <m:rPr/>
                    <w:rPr>
                      <w:rFonts w:ascii="Cambria Math" w:hAnsi="Cambria Math"/>
                    </w:rPr>
                    <m:t>2</m:t>
                  </m:r>
                  <m:ctrlPr>
                    <w:rPr>
                      <w:rFonts w:ascii="Cambria Math" w:hAnsi="Cambria Math"/>
                      <w:i/>
                    </w:rPr>
                  </m:ctrlPr>
                </m:sup>
              </m:sSup>
            </m:oMath>
            <w:r>
              <w:t>）</w:t>
            </w:r>
            <m:oMath>
              <m:r>
                <m:rPr>
                  <m:sty m:val="p"/>
                </m:rPr>
                <w:rPr>
                  <w:rFonts w:ascii="Cambria Math" w:hAnsi="Cambria Math"/>
                </w:rPr>
                <m:t>/4nλ</m:t>
              </m:r>
            </m:oMath>
          </w:p>
        </w:tc>
        <w:tc>
          <w:tcPr>
            <w:tcW w:w="930" w:type="dxa"/>
            <w:vAlign w:val="center"/>
          </w:tcPr>
          <w:p>
            <w:pPr>
              <w:ind w:firstLine="0" w:firstLineChars="0"/>
              <w:jc w:val="right"/>
            </w:pPr>
            <w:r>
              <w:t>(2-10)</w:t>
            </w:r>
          </w:p>
        </w:tc>
      </w:tr>
    </w:tbl>
    <w:p>
      <w:r>
        <w:t>价格共谋商品生产模型小结：在上述理想条件下价格共谋商品生产数学模型里，随着竞争厂商数量n的增加，每个厂商的最优销量和最优利润将与n成反比下降，具体计算公式为方程（附2-8）和（附2-10），即每个厂商仅获得</w:t>
      </w:r>
      <m:oMath>
        <m:f>
          <m:fPr>
            <m:type m:val="skw"/>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n</m:t>
            </m:r>
            <m:ctrlPr>
              <w:rPr>
                <w:rFonts w:ascii="Cambria Math" w:hAnsi="Cambria Math"/>
                <w:i/>
              </w:rPr>
            </m:ctrlPr>
          </m:den>
        </m:f>
      </m:oMath>
      <w:r>
        <w:t>的整体利润，而整体利润（</w:t>
      </w:r>
      <m:oMath>
        <m:sSup>
          <m:sSupPr>
            <m:ctrlPr>
              <w:rPr>
                <w:rFonts w:ascii="Cambria Math" w:hAnsi="Cambria Math"/>
                <w:i/>
              </w:rPr>
            </m:ctrlPr>
          </m:sSupPr>
          <m:e>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i/>
              </w:rPr>
            </m:ctrlPr>
          </m:e>
          <m:sup>
            <m:r>
              <m:rPr/>
              <w:rPr>
                <w:rFonts w:ascii="Cambria Math" w:hAnsi="Cambria Math"/>
              </w:rPr>
              <m:t>2</m:t>
            </m:r>
            <m:ctrlPr>
              <w:rPr>
                <w:rFonts w:ascii="Cambria Math" w:hAnsi="Cambria Math"/>
                <w:i/>
              </w:rPr>
            </m:ctrlPr>
          </m:sup>
        </m:sSup>
      </m:oMath>
      <w:r>
        <w:t>-</w:t>
      </w:r>
      <m:oMath>
        <m:sSup>
          <m:sSupPr>
            <m:ctrlPr>
              <w:rPr>
                <w:rFonts w:ascii="Cambria Math" w:hAnsi="Cambria Math"/>
                <w:i/>
              </w:rPr>
            </m:ctrlPr>
          </m:sSupPr>
          <m:e>
            <m:r>
              <m:rPr/>
              <w:rPr>
                <w:rFonts w:ascii="Cambria Math" w:hAnsi="Cambria Math"/>
              </w:rPr>
              <m:t>c</m:t>
            </m:r>
            <m:ctrlPr>
              <w:rPr>
                <w:rFonts w:ascii="Cambria Math" w:hAnsi="Cambria Math"/>
                <w:i/>
              </w:rPr>
            </m:ctrlPr>
          </m:e>
          <m:sup>
            <m:r>
              <m:rPr/>
              <w:rPr>
                <w:rFonts w:ascii="Cambria Math" w:hAnsi="Cambria Math"/>
              </w:rPr>
              <m:t>2</m:t>
            </m:r>
            <m:ctrlPr>
              <w:rPr>
                <w:rFonts w:ascii="Cambria Math" w:hAnsi="Cambria Math"/>
                <w:i/>
              </w:rPr>
            </m:ctrlPr>
          </m:sup>
        </m:sSup>
      </m:oMath>
      <w:r>
        <w:t>）</w:t>
      </w:r>
      <m:oMath>
        <m:r>
          <m:rPr>
            <m:sty m:val="p"/>
          </m:rPr>
          <w:rPr>
            <w:rFonts w:ascii="Cambria Math" w:hAnsi="Cambria Math"/>
          </w:rPr>
          <m:t>/4λ</m:t>
        </m:r>
      </m:oMath>
      <w:r>
        <w:t>是固定的。</w:t>
      </w:r>
    </w:p>
    <w:p>
      <w:r>
        <w:t>（2）N个厂商古诺竞争商品生产模型各厂商的优化价格，优化销量和优化利润。</w:t>
      </w:r>
    </w:p>
    <w:p>
      <w:r>
        <w:t>理想假设每个厂商的边际单位成本相同并为常数c，商品的需求函数为线性函数：</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m:sty m:val="p"/>
                </m:rPr>
                <w:rPr>
                  <w:rFonts w:ascii="Cambria Math" w:hAnsi="Cambria Math"/>
                </w:rPr>
                <m:t>P</m:t>
              </m:r>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λQ</m:t>
              </m:r>
            </m:oMath>
          </w:p>
        </w:tc>
        <w:tc>
          <w:tcPr>
            <w:tcW w:w="930" w:type="dxa"/>
            <w:vAlign w:val="center"/>
          </w:tcPr>
          <w:p>
            <w:pPr>
              <w:ind w:firstLine="0" w:firstLineChars="0"/>
              <w:jc w:val="right"/>
            </w:pPr>
            <w:r>
              <w:t>(2-11)</w:t>
            </w:r>
          </w:p>
        </w:tc>
      </w:tr>
    </w:tbl>
    <w:p>
      <w:r>
        <w:t>设每个生产商的产量分别为：</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p>
    <w:p>
      <w:r>
        <w:t>则总产量为：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m:sty m:val="p"/>
                </m:rPr>
                <w:rPr>
                  <w:rFonts w:ascii="Cambria Math" w:hAnsi="Cambria Math"/>
                </w:rPr>
                <m:t>Q=</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r>
              <w:t xml:space="preserve"> </w:t>
            </w:r>
          </w:p>
        </w:tc>
        <w:tc>
          <w:tcPr>
            <w:tcW w:w="930" w:type="dxa"/>
            <w:vAlign w:val="center"/>
          </w:tcPr>
          <w:p>
            <w:pPr>
              <w:ind w:firstLine="0" w:firstLineChars="0"/>
              <w:jc w:val="right"/>
            </w:pPr>
            <w:r>
              <w:t>(2-12)</w:t>
            </w:r>
          </w:p>
        </w:tc>
      </w:tr>
    </w:tbl>
    <w:p>
      <w:r>
        <w:t>各厂商的利润方程分别为：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=(P-</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oMath>
          </w:p>
        </w:tc>
        <w:tc>
          <w:tcPr>
            <w:tcW w:w="930" w:type="dxa"/>
            <w:vAlign w:val="center"/>
          </w:tcPr>
          <w:p>
            <w:pPr>
              <w:ind w:firstLine="0" w:firstLineChars="0"/>
              <w:jc w:val="right"/>
            </w:pPr>
            <w:r>
              <w:t>(2-13)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2</m:t>
                  </m:r>
                  <m:ctrlPr>
                    <w:rPr>
                      <w:rFonts w:ascii="Cambria Math" w:hAnsi="Cambria Math"/>
                      <w:i/>
                    </w:rPr>
                  </m:ctrlPr>
                </m:sub>
              </m:sSub>
            </m:oMath>
            <w:r>
              <w:t>=(P-</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oMath>
          </w:p>
        </w:tc>
        <w:tc>
          <w:tcPr>
            <w:tcW w:w="930" w:type="dxa"/>
            <w:vAlign w:val="center"/>
          </w:tcPr>
          <w:p>
            <w:pPr>
              <w:ind w:firstLine="0" w:firstLineChars="0"/>
              <w:jc w:val="right"/>
            </w:pPr>
            <w:r>
              <w:t>(2-14)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oMath>
            <w:r>
              <w:t>=(P-</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n</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p>
        </w:tc>
        <w:tc>
          <w:tcPr>
            <w:tcW w:w="930" w:type="dxa"/>
            <w:vAlign w:val="center"/>
          </w:tcPr>
          <w:p>
            <w:pPr>
              <w:ind w:firstLine="0" w:firstLineChars="0"/>
              <w:jc w:val="right"/>
            </w:pPr>
            <w:r>
              <w:t>(2-15)</w:t>
            </w:r>
          </w:p>
        </w:tc>
      </w:tr>
    </w:tbl>
    <w:p>
      <w:r>
        <w:t>将 (附2-11) ，（附2-12）式分别代入 (附2-13)， (附2-14)，（附2-15） 式</w:t>
      </w:r>
    </w:p>
    <w:p>
      <w:r>
        <w:t>可得出每个厂商的利润与产量的相关函数：</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r>
              <w:t>)=</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λ</m:t>
              </m:r>
              <m:d>
                <m:dPr>
                  <m:ctrlPr>
                    <w:rPr>
                      <w:rFonts w:ascii="Cambria Math" w:hAnsi="Cambria Math"/>
                    </w:rPr>
                  </m:ctrlPr>
                </m:d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ctrlPr>
                    <w:rPr>
                      <w:rFonts w:ascii="Cambria Math" w:hAnsi="Cambria Math"/>
                    </w:rPr>
                  </m:ctrlPr>
                </m:e>
              </m:d>
              <m:r>
                <m:rPr>
                  <m:sty m:val="p"/>
                </m:rPr>
                <w:rPr>
                  <w:rFonts w:ascii="Cambria Math" w:hAnsi="Cambria Math" w:eastAsia="微软雅黑"/>
                </w:rPr>
                <m:t>−</m:t>
              </m:r>
              <m:r>
                <m:rPr>
                  <m:sty m:val="p"/>
                </m:rPr>
                <w:rPr>
                  <w:rFonts w:ascii="Cambria Math" w:hAnsi="Cambria Math"/>
                </w:rPr>
                <m:t>c)</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050" w:firstLineChars="500"/>
            </w:pPr>
            <m:oMath>
              <m:r>
                <m:rPr/>
                <w:rPr>
                  <w:rFonts w:ascii="Cambria Math" w:hAnsi="Cambria Math"/>
                </w:rPr>
                <m:t xml:space="preserve">      </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r>
              <w:t>)=</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λ</m:t>
              </m:r>
              <m:d>
                <m:dPr>
                  <m:ctrlPr>
                    <w:rPr>
                      <w:rFonts w:ascii="Cambria Math" w:hAnsi="Cambria Math"/>
                    </w:rPr>
                  </m:ctrlPr>
                </m:d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ctrlPr>
                    <w:rPr>
                      <w:rFonts w:ascii="Cambria Math" w:hAnsi="Cambria Math"/>
                    </w:rPr>
                  </m:ctrlPr>
                </m:e>
              </m:d>
              <m:r>
                <m:rPr>
                  <m:sty m:val="p"/>
                </m:rPr>
                <w:rPr>
                  <w:rFonts w:ascii="Cambria Math" w:hAnsi="Cambria Math" w:eastAsia="微软雅黑"/>
                </w:rPr>
                <m:t>−</m:t>
              </m:r>
              <m:r>
                <m:rPr>
                  <m:sty m:val="p"/>
                </m:rPr>
                <w:rPr>
                  <w:rFonts w:ascii="Cambria Math" w:hAnsi="Cambria Math"/>
                </w:rPr>
                <m:t>c)</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oMath>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r>
              <w:t>)=</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λ</m:t>
              </m:r>
              <m:d>
                <m:dPr>
                  <m:ctrlPr>
                    <w:rPr>
                      <w:rFonts w:ascii="Cambria Math" w:hAnsi="Cambria Math"/>
                    </w:rPr>
                  </m:ctrlPr>
                </m:d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ctrlPr>
                    <w:rPr>
                      <w:rFonts w:ascii="Cambria Math" w:hAnsi="Cambria Math"/>
                    </w:rPr>
                  </m:ctrlPr>
                </m:e>
              </m:d>
              <m:r>
                <m:rPr>
                  <m:sty m:val="p"/>
                </m:rPr>
                <w:rPr>
                  <w:rFonts w:ascii="Cambria Math" w:hAnsi="Cambria Math" w:eastAsia="微软雅黑"/>
                </w:rPr>
                <m:t>−</m:t>
              </m:r>
              <m:r>
                <m:rPr>
                  <m:sty m:val="p"/>
                </m:rPr>
                <w:rPr>
                  <w:rFonts w:ascii="Cambria Math" w:hAnsi="Cambria Math"/>
                </w:rPr>
                <m:t>c)</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oMath>
          </w:p>
        </w:tc>
        <w:tc>
          <w:tcPr>
            <w:tcW w:w="930" w:type="dxa"/>
            <w:vAlign w:val="center"/>
          </w:tcPr>
          <w:p>
            <w:pPr>
              <w:ind w:firstLine="0" w:firstLineChars="0"/>
              <w:jc w:val="right"/>
            </w:pPr>
          </w:p>
        </w:tc>
      </w:tr>
    </w:tbl>
    <w:p>
      <w:r>
        <w:t>每个厂商根据自身利润最大化原则来调整产量，于是有</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 xml:space="preserve">         </w:t>
            </w:r>
            <m:oMath>
              <m:f>
                <m:fPr>
                  <m:ctrlPr>
                    <w:rPr>
                      <w:rFonts w:ascii="Cambria Math" w:hAnsi="Cambria Math"/>
                      <w:i/>
                    </w:rPr>
                  </m:ctrlPr>
                </m:fPr>
                <m:num>
                  <m:r>
                    <m:rPr/>
                    <w:rPr>
                      <w:rFonts w:ascii="Cambria Math" w:hAnsi="Cambria Math"/>
                    </w:rPr>
                    <m:t>∂</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num>
                <m:den>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den>
              </m:f>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c</m:t>
              </m:r>
            </m:oMath>
            <w:r>
              <w:t>-</w:t>
            </w:r>
            <m:oMath>
              <m:r>
                <m:rPr>
                  <m:sty m:val="p"/>
                </m:rPr>
                <w:rPr>
                  <w:rFonts w:ascii="Cambria Math" w:hAnsi="Cambria Math"/>
                </w:rPr>
                <m:t>λ(2</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m:t>
              </m:r>
            </m:oMath>
            <w:r>
              <w:t>=0</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050" w:firstLineChars="500"/>
              <w:jc w:val="center"/>
            </w:pPr>
            <m:oMath>
              <m:f>
                <m:fPr>
                  <m:ctrlPr>
                    <w:rPr>
                      <w:rFonts w:ascii="Cambria Math" w:hAnsi="Cambria Math"/>
                      <w:i/>
                    </w:rPr>
                  </m:ctrlPr>
                </m:fPr>
                <m:num>
                  <m:r>
                    <m:rPr/>
                    <w:rPr>
                      <w:rFonts w:ascii="Cambria Math" w:hAnsi="Cambria Math"/>
                    </w:rPr>
                    <m:t>∂</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num>
                <m:den>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den>
              </m:f>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c</m:t>
              </m:r>
            </m:oMath>
            <w:r>
              <w:t>-</w:t>
            </w:r>
            <m:oMath>
              <m:r>
                <m:rPr>
                  <m:sty m:val="p"/>
                </m:rPr>
                <w:rPr>
                  <w:rFonts w:ascii="Cambria Math" w:hAnsi="Cambria Math"/>
                </w:rPr>
                <m:t>λ(</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+2</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m:t>
              </m:r>
            </m:oMath>
            <w:r>
              <w:t>=0</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szCs w:val="21"/>
              </w:rPr>
              <w:t xml:space="preserve">         </w:t>
            </w:r>
            <m:oMath>
              <m:r>
                <m:rPr/>
                <w:rPr>
                  <w:rFonts w:ascii="Cambria Math" w:hAnsi="Cambria Math"/>
                  <w:szCs w:val="21"/>
                </w:rPr>
                <m:t xml:space="preserve">  </m:t>
              </m:r>
              <m:f>
                <m:fPr>
                  <m:ctrlPr>
                    <w:rPr>
                      <w:rFonts w:ascii="Cambria Math" w:hAnsi="Cambria Math"/>
                      <w:i/>
                    </w:rPr>
                  </m:ctrlPr>
                </m:fPr>
                <m:num>
                  <m:r>
                    <m:rPr/>
                    <w:rPr>
                      <w:rFonts w:ascii="Cambria Math" w:hAnsi="Cambria Math"/>
                    </w:rPr>
                    <m:t>∂</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num>
                <m:den>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den>
              </m:f>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c</m:t>
              </m:r>
            </m:oMath>
            <w:r>
              <w:t>-</w:t>
            </w:r>
            <m:oMath>
              <m:r>
                <m:rPr>
                  <m:sty m:val="p"/>
                </m:rPr>
                <w:rPr>
                  <w:rFonts w:ascii="Cambria Math" w:hAnsi="Cambria Math"/>
                </w:rPr>
                <m:t>λ(</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+...+2</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m:t>
              </m:r>
            </m:oMath>
            <w:r>
              <w:t>=0</w:t>
            </w:r>
          </w:p>
        </w:tc>
        <w:tc>
          <w:tcPr>
            <w:tcW w:w="930" w:type="dxa"/>
            <w:vAlign w:val="center"/>
          </w:tcPr>
          <w:p>
            <w:pPr>
              <w:ind w:firstLine="0" w:firstLineChars="0"/>
              <w:jc w:val="right"/>
            </w:pPr>
          </w:p>
        </w:tc>
      </w:tr>
    </w:tbl>
    <w:p>
      <w:r>
        <w:t>解得每个厂商的最大产量为：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i/>
                    </w:rPr>
                  </m:ctrlPr>
                </m:sSupPr>
                <m:e>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e>
                <m:sup>
                  <m:r>
                    <m:rPr/>
                    <w:rPr>
                      <w:rFonts w:ascii="Cambria Math" w:hAnsi="Cambria Math"/>
                    </w:rPr>
                    <m:t>∗</m:t>
                  </m:r>
                  <m:ctrlPr>
                    <w:rPr>
                      <w:rFonts w:ascii="Cambria Math" w:hAnsi="Cambria Math"/>
                      <w:i/>
                    </w:rPr>
                  </m:ctrlPr>
                </m:sup>
              </m:sSup>
            </m:oMath>
            <w:r>
              <w:t xml:space="preserve"> = </w:t>
            </w:r>
            <m:oMath>
              <m:sSup>
                <m:sSupPr>
                  <m:ctrlPr>
                    <w:rPr>
                      <w:rFonts w:ascii="Cambria Math" w:hAnsi="Cambria Math"/>
                      <w:i/>
                    </w:rPr>
                  </m:ctrlPr>
                </m:sSupPr>
                <m:e>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e>
                <m:sup>
                  <m:r>
                    <m:rPr/>
                    <w:rPr>
                      <w:rFonts w:ascii="Cambria Math" w:hAnsi="Cambria Math"/>
                    </w:rPr>
                    <m:t>∗</m:t>
                  </m:r>
                  <m:ctrlPr>
                    <w:rPr>
                      <w:rFonts w:ascii="Cambria Math" w:hAnsi="Cambria Math"/>
                      <w:i/>
                    </w:rPr>
                  </m:ctrlPr>
                </m:sup>
              </m:sSup>
              <m:r>
                <m:rPr/>
                <w:rPr>
                  <w:rFonts w:ascii="Cambria Math" w:hAnsi="Cambria Math"/>
                </w:rPr>
                <m:t>=...=</m:t>
              </m:r>
              <m:sSup>
                <m:sSupPr>
                  <m:ctrlPr>
                    <w:rPr>
                      <w:rFonts w:ascii="Cambria Math" w:hAnsi="Cambria Math"/>
                      <w:i/>
                    </w:rPr>
                  </m:ctrlPr>
                </m:sSupPr>
                <m:e>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e>
                <m:sup>
                  <m:r>
                    <m:rPr/>
                    <w:rPr>
                      <w:rFonts w:ascii="Cambria Math" w:hAnsi="Cambria Math"/>
                    </w:rPr>
                    <m:t>∗</m:t>
                  </m:r>
                  <m:ctrlPr>
                    <w:rPr>
                      <w:rFonts w:ascii="Cambria Math" w:hAnsi="Cambria Math"/>
                      <w:i/>
                    </w:rPr>
                  </m:ctrlPr>
                </m:sup>
              </m:sSup>
              <m:r>
                <m:rPr/>
                <w:rPr>
                  <w:rFonts w:ascii="Cambria Math" w:hAnsi="Cambria Math"/>
                </w:rPr>
                <m:t>=</m:t>
              </m:r>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–c) / (n+1)λ</w:t>
            </w:r>
          </w:p>
        </w:tc>
        <w:tc>
          <w:tcPr>
            <w:tcW w:w="930" w:type="dxa"/>
            <w:vAlign w:val="center"/>
          </w:tcPr>
          <w:p>
            <w:pPr>
              <w:ind w:firstLine="0" w:firstLineChars="0"/>
              <w:jc w:val="right"/>
            </w:pPr>
            <w:r>
              <w:t>(2-16)</w:t>
            </w:r>
          </w:p>
        </w:tc>
      </w:tr>
    </w:tbl>
    <w:p>
      <w:r>
        <w:t>解得古诺竞争的最佳价格为：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i/>
                    </w:rPr>
                  </m:ctrlPr>
                </m:sSupPr>
                <m:e>
                  <m:r>
                    <m:rPr/>
                    <w:rPr>
                      <w:rFonts w:ascii="Cambria Math" w:hAnsi="Cambria Math"/>
                    </w:rPr>
                    <m:t>P</m:t>
                  </m:r>
                  <m:ctrlPr>
                    <w:rPr>
                      <w:rFonts w:ascii="Cambria Math" w:hAnsi="Cambria Math"/>
                      <w:i/>
                    </w:rPr>
                  </m:ctrlPr>
                </m:e>
                <m:sup>
                  <m:r>
                    <m:rPr/>
                    <w:rPr>
                      <w:rFonts w:ascii="Cambria Math" w:hAnsi="Cambria Math" w:eastAsia="MS Gothic"/>
                    </w:rPr>
                    <m:t>∗</m:t>
                  </m:r>
                  <m:ctrlPr>
                    <w:rPr>
                      <w:rFonts w:ascii="Cambria Math" w:hAnsi="Cambria Math"/>
                      <w:i/>
                    </w:rPr>
                  </m:ctrlPr>
                </m:sup>
              </m:sSup>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λn</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r>
              <w:t>=</w:t>
            </w:r>
            <m:oMath>
              <m:f>
                <m:fPr>
                  <m:ctrlPr>
                    <w:rPr>
                      <w:rFonts w:ascii="Cambria Math" w:hAnsi="Cambria Math"/>
                      <w:i/>
                    </w:rPr>
                  </m:ctrlPr>
                </m:fPr>
                <m:num>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i/>
                    </w:rPr>
                  </m:ctrlPr>
                </m:num>
                <m:den>
                  <m:r>
                    <m:rPr/>
                    <w:rPr>
                      <w:rFonts w:ascii="Cambria Math" w:hAnsi="Cambria Math"/>
                    </w:rPr>
                    <m:t>n+1</m:t>
                  </m:r>
                  <m:ctrlPr>
                    <w:rPr>
                      <w:rFonts w:ascii="Cambria Math" w:hAnsi="Cambria Math"/>
                      <w:i/>
                    </w:rPr>
                  </m:ctrlPr>
                </m:den>
              </m:f>
            </m:oMath>
            <w:r>
              <w:t xml:space="preserve"> +c</w:t>
            </w:r>
            <m:oMath>
              <m:f>
                <m:fPr>
                  <m:ctrlPr>
                    <w:rPr>
                      <w:rFonts w:ascii="Cambria Math" w:hAnsi="Cambria Math"/>
                      <w:i/>
                    </w:rPr>
                  </m:ctrlPr>
                </m:fPr>
                <m:num>
                  <m:r>
                    <m:rPr/>
                    <w:rPr>
                      <w:rFonts w:ascii="Cambria Math" w:hAnsi="Cambria Math"/>
                    </w:rPr>
                    <m:t>n</m:t>
                  </m:r>
                  <m:ctrlPr>
                    <w:rPr>
                      <w:rFonts w:ascii="Cambria Math" w:hAnsi="Cambria Math"/>
                      <w:i/>
                    </w:rPr>
                  </m:ctrlPr>
                </m:num>
                <m:den>
                  <m:r>
                    <m:rPr/>
                    <w:rPr>
                      <w:rFonts w:ascii="Cambria Math" w:hAnsi="Cambria Math"/>
                    </w:rPr>
                    <m:t>n+1</m:t>
                  </m:r>
                  <m:ctrlPr>
                    <w:rPr>
                      <w:rFonts w:ascii="Cambria Math" w:hAnsi="Cambria Math"/>
                      <w:i/>
                    </w:rPr>
                  </m:ctrlPr>
                </m:den>
              </m:f>
            </m:oMath>
          </w:p>
        </w:tc>
        <w:tc>
          <w:tcPr>
            <w:tcW w:w="930" w:type="dxa"/>
            <w:vAlign w:val="center"/>
          </w:tcPr>
          <w:p>
            <w:pPr>
              <w:ind w:firstLine="0" w:firstLineChars="0"/>
              <w:jc w:val="right"/>
            </w:pPr>
            <w:r>
              <w:t>(2-17)</w:t>
            </w:r>
          </w:p>
        </w:tc>
      </w:tr>
    </w:tbl>
    <w:p>
      <w:r>
        <w:t>解得古诺竞争每个厂商的最佳利润为：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r>
                <m:rPr/>
                <w:rPr>
                  <w:rFonts w:ascii="Cambria Math" w:hAnsi="Cambria Math" w:eastAsia="微软雅黑"/>
                </w:rPr>
                <m:t>−−−</m:t>
              </m:r>
            </m:oMath>
            <w:r>
              <w:t>=</w:t>
            </w: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oMath>
            <w:r>
              <w:t>=</w:t>
            </w:r>
            <m:oMath>
              <m:sSup>
                <m:sSupPr>
                  <m:ctrlPr>
                    <w:rPr>
                      <w:rFonts w:ascii="Cambria Math" w:hAnsi="Cambria Math"/>
                    </w:rPr>
                  </m:ctrlPr>
                </m:sSupPr>
                <m:e>
                  <m:r>
                    <m:rPr>
                      <m:sty m:val="p"/>
                    </m:rPr>
                    <w:rPr>
                      <w:rFonts w:ascii="Cambria Math" w:hAnsi="Cambria Math"/>
                    </w:rPr>
                    <m:t>P</m:t>
                  </m:r>
                  <m:ctrlPr>
                    <w:rPr>
                      <w:rFonts w:ascii="Cambria Math" w:hAnsi="Cambria Math"/>
                    </w:rPr>
                  </m:ctrlPr>
                </m:e>
                <m:sup>
                  <m:r>
                    <m:rPr>
                      <m:sty m:val="p"/>
                    </m:rPr>
                    <w:rPr>
                      <w:rFonts w:ascii="Cambria Math" w:hAnsi="Cambria Math" w:eastAsia="MS Gothic"/>
                    </w:rPr>
                    <m:t>∗</m:t>
                  </m:r>
                  <m:ctrlPr>
                    <w:rPr>
                      <w:rFonts w:ascii="Cambria Math" w:hAnsi="Cambria Math"/>
                    </w:rPr>
                  </m:ctrlPr>
                </m:sup>
              </m:sSup>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e>
                <m:sup>
                  <m:r>
                    <m:rPr>
                      <m:sty m:val="p"/>
                    </m:rPr>
                    <w:rPr>
                      <w:rFonts w:ascii="Cambria Math" w:hAnsi="Cambria Math" w:eastAsia="MS Gothic"/>
                    </w:rPr>
                    <m:t>∗</m:t>
                  </m:r>
                  <m:ctrlPr>
                    <w:rPr>
                      <w:rFonts w:ascii="Cambria Math" w:hAnsi="Cambria Math"/>
                    </w:rPr>
                  </m:ctrlPr>
                </m:sup>
              </m:sSup>
            </m:oMath>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680" w:firstLineChars="800"/>
            </w:pPr>
            <w:r>
              <w:t xml:space="preserve">= </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c</m:t>
                  </m:r>
                  <m:ctrlPr>
                    <w:rPr>
                      <w:rFonts w:ascii="Cambria Math" w:hAnsi="Cambria Math"/>
                    </w:rPr>
                  </m:ctrlPr>
                </m:e>
              </m:d>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oMath>
            <w:r>
              <w:t xml:space="preserve"> </w:t>
            </w:r>
            <m:oMath>
              <m:r>
                <m:rPr>
                  <m:sty m:val="p"/>
                </m:rPr>
                <w:rPr>
                  <w:rFonts w:ascii="Cambria Math" w:hAnsi="Cambria Math"/>
                </w:rPr>
                <m:t>λ</m:t>
              </m:r>
            </m:oMath>
            <w:r>
              <w:rPr>
                <w:rFonts w:hint="eastAsia"/>
              </w:rPr>
              <w:t xml:space="preserve"> </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680" w:firstLineChars="800"/>
            </w:pPr>
            <w:r>
              <w:t xml:space="preserve">= </w:t>
            </w:r>
            <m:oMath>
              <m:f>
                <m:fPr>
                  <m:type m:val="skw"/>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n</m:t>
                  </m:r>
                  <m:ctrlPr>
                    <w:rPr>
                      <w:rFonts w:ascii="Cambria Math" w:hAnsi="Cambria Math"/>
                      <w:i/>
                    </w:rPr>
                  </m:ctrlPr>
                </m:den>
              </m:f>
            </m:oMath>
            <w:r>
              <w:t xml:space="preserve">* </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c</m:t>
                  </m:r>
                  <m:ctrlPr>
                    <w:rPr>
                      <w:rFonts w:ascii="Cambria Math" w:hAnsi="Cambria Math"/>
                    </w:rPr>
                  </m:ctrlPr>
                </m:e>
              </m:d>
              <m:r>
                <m:rPr>
                  <m:sty m:val="p"/>
                </m:rPr>
                <w:rPr>
                  <w:rFonts w:ascii="Cambria Math" w:hAnsi="Cambria Math"/>
                </w:rPr>
                <m:t>n/</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oMath>
            <w:r>
              <w:t xml:space="preserve"> </w:t>
            </w:r>
            <m:oMath>
              <m:r>
                <m:rPr>
                  <m:sty m:val="p"/>
                </m:rPr>
                <w:rPr>
                  <w:rFonts w:ascii="Cambria Math" w:hAnsi="Cambria Math"/>
                </w:rPr>
                <m:t>λ</m:t>
              </m:r>
            </m:oMath>
          </w:p>
        </w:tc>
        <w:tc>
          <w:tcPr>
            <w:tcW w:w="930" w:type="dxa"/>
            <w:vAlign w:val="center"/>
          </w:tcPr>
          <w:p>
            <w:pPr>
              <w:ind w:firstLine="0" w:firstLineChars="0"/>
              <w:jc w:val="right"/>
            </w:pPr>
            <w:r>
              <w:t>(2-18)</w:t>
            </w:r>
          </w:p>
        </w:tc>
      </w:tr>
    </w:tbl>
    <w:p>
      <w:r>
        <w:t>古诺竞争商品生产模型小结：在上述理想条件下n个厂商的古诺竞争商品生产模型里，各厂商的优化利润随厂商数n量的增加而与n近似成反比下降,具体计算为</w:t>
      </w:r>
      <w:r>
        <w:rPr>
          <w:rFonts w:hint="eastAsia"/>
        </w:rPr>
        <w:t>公式</w:t>
      </w:r>
      <w:r>
        <w:t>2-19</w:t>
      </w:r>
      <w:r>
        <w:rPr>
          <w:rFonts w:hint="eastAsia"/>
        </w:rPr>
        <w:t>：</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func>
                <m:funcPr>
                  <m:ctrlPr>
                    <w:rPr>
                      <w:rFonts w:ascii="Cambria Math" w:hAnsi="Cambria Math"/>
                      <w:i/>
                    </w:rPr>
                  </m:ctrlPr>
                </m:funcPr>
                <m:fName>
                  <m:limLow>
                    <m:limLowPr>
                      <m:ctrlPr>
                        <w:rPr>
                          <w:rFonts w:ascii="Cambria Math" w:hAnsi="Cambria Math"/>
                        </w:rPr>
                      </m:ctrlPr>
                    </m:limLowPr>
                    <m:e>
                      <m:r>
                        <m:rPr>
                          <m:sty m:val="p"/>
                        </m:rPr>
                        <w:rPr>
                          <w:rFonts w:ascii="Cambria Math" w:hAnsi="Cambria Math"/>
                        </w:rPr>
                        <m:t>lim</m:t>
                      </m:r>
                      <m:ctrlPr>
                        <w:rPr>
                          <w:rFonts w:ascii="Cambria Math" w:hAnsi="Cambria Math"/>
                          <w:i/>
                        </w:rPr>
                      </m:ctrlPr>
                    </m:e>
                    <m:lim>
                      <m:r>
                        <m:rPr/>
                        <w:rPr>
                          <w:rFonts w:ascii="Cambria Math" w:hAnsi="Cambria Math"/>
                        </w:rPr>
                        <m:t>n→∞</m:t>
                      </m:r>
                      <m:ctrlPr>
                        <w:rPr>
                          <w:rFonts w:ascii="Cambria Math" w:hAnsi="Cambria Math"/>
                          <w:i/>
                        </w:rPr>
                      </m:ctrlPr>
                    </m:lim>
                  </m:limLow>
                  <m:ctrlPr>
                    <w:rPr>
                      <w:rFonts w:ascii="Cambria Math" w:hAnsi="Cambria Math"/>
                      <w:i/>
                    </w:rPr>
                  </m:ctrlPr>
                </m:fName>
                <m:e>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n/</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 xml:space="preserve"> λ</m:t>
                  </m:r>
                  <m:ctrlPr>
                    <w:rPr>
                      <w:rFonts w:ascii="Cambria Math" w:hAnsi="Cambria Math"/>
                      <w:i/>
                    </w:rPr>
                  </m:ctrlPr>
                </m:e>
              </m:func>
            </m:oMath>
            <w:r>
              <w:t>=</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/λ</m:t>
              </m:r>
            </m:oMath>
          </w:p>
        </w:tc>
        <w:tc>
          <w:tcPr>
            <w:tcW w:w="930" w:type="dxa"/>
            <w:vAlign w:val="center"/>
          </w:tcPr>
          <w:p>
            <w:pPr>
              <w:ind w:firstLine="0" w:firstLineChars="0"/>
              <w:jc w:val="right"/>
            </w:pPr>
            <w:r>
              <w:t>(2-19)</w:t>
            </w:r>
          </w:p>
        </w:tc>
      </w:tr>
    </w:tbl>
    <w:p>
      <w:r>
        <w:t>当n足够大时，每个厂商仅获得</w:t>
      </w:r>
      <m:oMath>
        <m:f>
          <m:fPr>
            <m:type m:val="skw"/>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n</m:t>
            </m:r>
            <m:ctrlPr>
              <w:rPr>
                <w:rFonts w:ascii="Cambria Math" w:hAnsi="Cambria Math"/>
                <w:i/>
              </w:rPr>
            </m:ctrlPr>
          </m:den>
        </m:f>
      </m:oMath>
      <w:r>
        <w:t>的近似不随n改变而变化的整体利润</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n/</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oMath>
      <w:r>
        <w:t xml:space="preserve"> </w:t>
      </w:r>
      <m:oMath>
        <m:r>
          <m:rPr>
            <m:sty m:val="p"/>
          </m:rPr>
          <w:rPr>
            <w:rFonts w:ascii="Cambria Math" w:hAnsi="Cambria Math"/>
          </w:rPr>
          <m:t>λ</m:t>
        </m:r>
      </m:oMath>
      <w:r>
        <w:t>。因为</w:t>
      </w:r>
      <m:oMath>
        <m:func>
          <m:funcPr>
            <m:ctrlPr>
              <w:rPr>
                <w:rFonts w:ascii="Cambria Math" w:hAnsi="Cambria Math"/>
                <w:i/>
              </w:rPr>
            </m:ctrlPr>
          </m:funcPr>
          <m:fName>
            <m:limLow>
              <m:limLowPr>
                <m:ctrlPr>
                  <w:rPr>
                    <w:rFonts w:ascii="Cambria Math" w:hAnsi="Cambria Math"/>
                  </w:rPr>
                </m:ctrlPr>
              </m:limLowPr>
              <m:e>
                <m:r>
                  <m:rPr>
                    <m:sty m:val="p"/>
                  </m:rPr>
                  <w:rPr>
                    <w:rFonts w:ascii="Cambria Math" w:hAnsi="Cambria Math"/>
                  </w:rPr>
                  <m:t>lim</m:t>
                </m:r>
                <m:ctrlPr>
                  <w:rPr>
                    <w:rFonts w:ascii="Cambria Math" w:hAnsi="Cambria Math"/>
                    <w:i/>
                  </w:rPr>
                </m:ctrlPr>
              </m:e>
              <m:lim>
                <m:r>
                  <m:rPr/>
                  <w:rPr>
                    <w:rFonts w:ascii="Cambria Math" w:hAnsi="Cambria Math"/>
                  </w:rPr>
                  <m:t>n→∞</m:t>
                </m:r>
                <m:ctrlPr>
                  <w:rPr>
                    <w:rFonts w:ascii="Cambria Math" w:hAnsi="Cambria Math"/>
                    <w:i/>
                  </w:rPr>
                </m:ctrlPr>
              </m:lim>
            </m:limLow>
            <m:ctrlPr>
              <w:rPr>
                <w:rFonts w:ascii="Cambria Math" w:hAnsi="Cambria Math"/>
                <w:i/>
              </w:rPr>
            </m:ctrlPr>
          </m:fName>
          <m:e>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n/</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 xml:space="preserve"> λ</m:t>
            </m:r>
            <m:ctrlPr>
              <w:rPr>
                <w:rFonts w:ascii="Cambria Math" w:hAnsi="Cambria Math"/>
                <w:i/>
              </w:rPr>
            </m:ctrlPr>
          </m:e>
        </m:func>
      </m:oMath>
      <w:r>
        <w:t>=</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/λ</m:t>
        </m:r>
      </m:oMath>
      <w:r>
        <w:t xml:space="preserve"> 。</w:t>
      </w:r>
    </w:p>
    <w:p>
      <w:r>
        <w:t>（3）N个厂商伯特兰德竞争商品生产模型各厂商的均衡价格，均衡销量和均衡利润。</w:t>
      </w:r>
    </w:p>
    <w:p>
      <w:pPr>
        <w:ind w:left="210" w:leftChars="100" w:firstLine="210" w:firstLineChars="100"/>
      </w:pPr>
      <w:r>
        <w:t>伯特兰德竞争模型是每个厂商都以最可能的低价去竞争以获得全部市场份额，理想状态下设N个厂商的边际单位成本分别为常数</w:t>
      </w:r>
      <m:oMath>
        <m:r>
          <m:rPr>
            <m:sty m:val="p"/>
          </m:rPr>
          <w:rPr>
            <w:rFonts w:ascii="Cambria Math" w:hAnsi="Cambria Math"/>
          </w:rPr>
          <m:t xml:space="preserve">： </m:t>
        </m:r>
      </m:oMath>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w:rPr>
                  <w:rFonts w:ascii="Cambria Math" w:hAnsi="Cambria Math"/>
                </w:rPr>
                <m:t xml:space="preserve">  </m:t>
              </m:r>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w:t>
            </w:r>
            <w:r>
              <w:rPr>
                <w:rFonts w:hint="eastAsia" w:ascii="宋体" w:hAnsi="宋体" w:cs="宋体"/>
              </w:rPr>
              <w:t>≦</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N</m:t>
                  </m:r>
                  <m:ctrlPr>
                    <w:rPr>
                      <w:rFonts w:ascii="Cambria Math" w:hAnsi="Cambria Math"/>
                      <w:i/>
                    </w:rPr>
                  </m:ctrlPr>
                </m:sub>
              </m:sSub>
            </m:oMath>
            <w:r>
              <w:t xml:space="preserve">  </w:t>
            </w:r>
          </w:p>
        </w:tc>
        <w:tc>
          <w:tcPr>
            <w:tcW w:w="930" w:type="dxa"/>
            <w:vAlign w:val="center"/>
          </w:tcPr>
          <w:p>
            <w:pPr>
              <w:ind w:firstLine="0" w:firstLineChars="0"/>
              <w:jc w:val="right"/>
            </w:pPr>
            <w:r>
              <w:t>(2-20)</w:t>
            </w:r>
          </w:p>
        </w:tc>
      </w:tr>
    </w:tbl>
    <w:p>
      <w:r>
        <w:t>商品的需求函数为线性函数：</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 xml:space="preserve"> </w:t>
            </w:r>
            <m:oMath>
              <m:r>
                <m:rPr>
                  <m:sty m:val="p"/>
                </m:rPr>
                <w:rPr>
                  <w:rFonts w:ascii="Cambria Math" w:hAnsi="Cambria Math"/>
                </w:rPr>
                <m:t>P</m:t>
              </m:r>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λQ</m:t>
              </m:r>
            </m:oMath>
          </w:p>
        </w:tc>
        <w:tc>
          <w:tcPr>
            <w:tcW w:w="930" w:type="dxa"/>
            <w:vAlign w:val="center"/>
          </w:tcPr>
          <w:p>
            <w:pPr>
              <w:ind w:firstLine="0" w:firstLineChars="0"/>
              <w:jc w:val="right"/>
            </w:pPr>
            <w:r>
              <w:t>(2-21)</w:t>
            </w:r>
          </w:p>
        </w:tc>
      </w:tr>
    </w:tbl>
    <w:p>
      <w:r>
        <w:t>则市场的均衡价格为第二个厂商的边际成本：</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Para>
              <m:oMath>
                <m:sSup>
                  <m:sSupPr>
                    <m:ctrlPr>
                      <w:rPr>
                        <w:rFonts w:ascii="Cambria Math" w:hAnsi="Cambria Math"/>
                      </w:rPr>
                    </m:ctrlPr>
                  </m:sSupPr>
                  <m:e>
                    <m:r>
                      <m:rPr>
                        <m:sty m:val="p"/>
                      </m:rPr>
                      <w:rPr>
                        <w:rFonts w:ascii="Cambria Math" w:hAnsi="Cambria Math"/>
                      </w:rPr>
                      <m:t>P</m:t>
                    </m:r>
                    <m:ctrlPr>
                      <w:rPr>
                        <w:rFonts w:ascii="Cambria Math" w:hAnsi="Cambria Math"/>
                      </w:rPr>
                    </m:ctrlPr>
                  </m:e>
                  <m:sup>
                    <m:r>
                      <m:rPr>
                        <m:sty m:val="p"/>
                      </m:rPr>
                      <w:rPr>
                        <w:rFonts w:ascii="Cambria Math" w:hAnsi="Cambria Math" w:eastAsia="MS Gothic"/>
                      </w:rPr>
                      <m:t>∗</m:t>
                    </m:r>
                    <m:ctrlPr>
                      <w:rPr>
                        <w:rFonts w:ascii="Cambria Math" w:hAnsi="Cambria Math"/>
                      </w:rPr>
                    </m:ctrlPr>
                  </m:sup>
                </m:sSup>
                <m:r>
                  <m:rPr>
                    <m:sty m:val="p"/>
                  </m:rPr>
                  <w:rPr>
                    <w:rFonts w:ascii="Cambria Math" w:hAnsi="Cambria Math"/>
                  </w:rPr>
                  <m:t>=</m:t>
                </m:r>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m:oMathPara>
          </w:p>
        </w:tc>
        <w:tc>
          <w:tcPr>
            <w:tcW w:w="930" w:type="dxa"/>
            <w:vAlign w:val="center"/>
          </w:tcPr>
          <w:p>
            <w:pPr>
              <w:ind w:firstLine="0" w:firstLineChars="0"/>
              <w:jc w:val="right"/>
            </w:pPr>
            <w:r>
              <w:t>(2-22)</w:t>
            </w:r>
          </w:p>
        </w:tc>
      </w:tr>
    </w:tbl>
    <w:p>
      <w:r>
        <w:t>将方程（附2-18）代入方程（附2-17）得第一个厂商的产量方程为：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m:t>
              </m:r>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e>
                <m:sup>
                  <m:r>
                    <m:rPr>
                      <m:sty m:val="p"/>
                    </m:rPr>
                    <w:rPr>
                      <w:rFonts w:ascii="Cambria Math" w:hAnsi="Cambria Math" w:eastAsia="MS Gothic"/>
                    </w:rPr>
                    <m:t>∗</m:t>
                  </m:r>
                  <m:ctrlPr>
                    <w:rPr>
                      <w:rFonts w:ascii="Cambria Math" w:hAnsi="Cambria Math"/>
                    </w:rPr>
                  </m:ctrlPr>
                </m:sup>
              </m:sSup>
            </m:oMath>
            <w:r>
              <w:t xml:space="preserve">  </w:t>
            </w:r>
          </w:p>
        </w:tc>
        <w:tc>
          <w:tcPr>
            <w:tcW w:w="930" w:type="dxa"/>
            <w:vAlign w:val="center"/>
          </w:tcPr>
          <w:p>
            <w:pPr>
              <w:ind w:firstLine="0" w:firstLineChars="0"/>
              <w:jc w:val="right"/>
            </w:pPr>
            <w:r>
              <w:t>(2-23)</w:t>
            </w:r>
          </w:p>
        </w:tc>
      </w:tr>
    </w:tbl>
    <w:p>
      <w:r>
        <w:t>求得第一个厂商的最佳产量为：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e>
                <m:sup>
                  <m:r>
                    <m:rPr>
                      <m:sty m:val="p"/>
                    </m:rPr>
                    <w:rPr>
                      <w:rFonts w:ascii="Cambria Math" w:hAnsi="Cambria Math" w:eastAsia="MS Gothic"/>
                    </w:rPr>
                    <m:t>∗</m:t>
                  </m:r>
                  <m:ctrlPr>
                    <w:rPr>
                      <w:rFonts w:ascii="Cambria Math" w:hAnsi="Cambria Math"/>
                    </w:rPr>
                  </m:ctrlPr>
                </m:sup>
              </m:sSup>
            </m:oMath>
            <w:r>
              <w:t xml:space="preserve"> </w:t>
            </w:r>
            <m:oMath>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e>
              </m:d>
            </m:oMath>
            <w:r>
              <w:t>/</w:t>
            </w:r>
            <m:oMath>
              <m:r>
                <m:rPr>
                  <m:sty m:val="p"/>
                </m:rPr>
                <w:rPr>
                  <w:rFonts w:ascii="Cambria Math" w:hAnsi="Cambria Math"/>
                </w:rPr>
                <m:t>λ</m:t>
              </m:r>
            </m:oMath>
          </w:p>
        </w:tc>
        <w:tc>
          <w:tcPr>
            <w:tcW w:w="930" w:type="dxa"/>
            <w:vAlign w:val="center"/>
          </w:tcPr>
          <w:p>
            <w:pPr>
              <w:ind w:firstLine="0" w:firstLineChars="0"/>
              <w:jc w:val="right"/>
            </w:pPr>
            <w:r>
              <w:t>(2-24)</w:t>
            </w:r>
          </w:p>
        </w:tc>
      </w:tr>
    </w:tbl>
    <w:p>
      <w:r>
        <w:t>第一个厂商的最佳利润为：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rPr>
                  </m:ctrlPr>
                </m:sSubPr>
                <m:e>
                  <m:r>
                    <m:rPr>
                      <m:sty m:val="p"/>
                    </m:rPr>
                    <w:rPr>
                      <w:rFonts w:ascii="Cambria Math" w:hAnsi="Cambria Math"/>
                    </w:rPr>
                    <m:t>π</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eastAsia="微软雅黑"/>
                    </w:rPr>
                    <m:t>−</m:t>
                  </m:r>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e>
              </m:d>
            </m:oMath>
            <w:r>
              <w:t>/</w:t>
            </w:r>
            <m:oMath>
              <m:r>
                <m:rPr>
                  <m:sty m:val="p"/>
                </m:rPr>
                <w:rPr>
                  <w:rFonts w:ascii="Cambria Math" w:hAnsi="Cambria Math"/>
                </w:rPr>
                <m:t>λ</m:t>
              </m:r>
            </m:oMath>
          </w:p>
        </w:tc>
        <w:tc>
          <w:tcPr>
            <w:tcW w:w="930" w:type="dxa"/>
            <w:vAlign w:val="center"/>
          </w:tcPr>
          <w:p>
            <w:pPr>
              <w:ind w:firstLine="0" w:firstLineChars="0"/>
              <w:jc w:val="right"/>
            </w:pPr>
            <w:r>
              <w:t>(2-25)</w:t>
            </w:r>
          </w:p>
        </w:tc>
      </w:tr>
    </w:tbl>
    <w:p>
      <w:r>
        <w:t>其它厂商的产量为零，利润为零。</w:t>
      </w:r>
    </w:p>
    <w:p>
      <w:r>
        <w:t>伯特兰德竞争商品生产模型小结：在上述理想条件下n个厂商的伯特兰德竞争的数学模型里，成本第一低的厂商获得全部市场份额，市场均衡销售价格为成本第二低厂商的成本</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，成本第一低厂商的单位利润为(</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1</m:t>
            </m:r>
            <m:ctrlPr>
              <w:rPr>
                <w:rFonts w:ascii="Cambria Math" w:hAnsi="Cambria Math"/>
                <w:i/>
              </w:rPr>
            </m:ctrlPr>
          </m:sub>
        </m:sSub>
      </m:oMath>
      <w:r>
        <w:t>)。在伯特兰德竞争商品生产模型里，生产成本高的厂商存在产品销售不出去的情况。</w:t>
      </w:r>
    </w:p>
    <w:p>
      <w:r>
        <w:t>在价格共谋和古诺竞争数学模型里，当生产厂家n比较大时，必然有厂家不满足获得1/n总体利润而降价以获得更多的市场份额和利润，因此上述价格共谋和古诺竞争各厂商的产量和利润最优解不是稳定解，即价格共谋和古诺竞争两种商品生产模型不可能长期维持，最终这两种商品生产竞争模型都将走向伯特兰德竞争。</w:t>
      </w:r>
    </w:p>
    <w:p>
      <w:r>
        <w:t>但伯特兰德竞争均衡也是一种理想情况。现实的商品生产竞争不会出现理想状态的伯特兰德竞争均衡，而是古诺竞争与伯特兰德竞争的混合状态。至于怎样的混合状态则由具体商品的综合情况决定。但有一点是肯定的，竞争力弱的厂家将存在产品销售不出去的情况，即该商品合计的生产函数曲线将不满足性凸性子集的要求，不能实现优化竞争性均衡。</w:t>
      </w:r>
    </w:p>
    <w:p>
      <w:r>
        <w:t>从物理意义上讲，市场经济的商品生产竞争是个优胜劣汰机制，必然存在竞争力弱的产品销售不出去的情况，不可能实现帕累托优化竞争性均衡。</w:t>
      </w:r>
    </w:p>
    <w:p>
      <w:r>
        <w:t>综合以上所述，本附录认为商品生产竞争不能实现帕累托优化竞争性均衡。</w:t>
      </w:r>
    </w:p>
    <w:p>
      <w:r>
        <w:t>本附录对商品生产竞争分析还有一个重要结论：社会需求决定社会产出。</w:t>
      </w:r>
    </w:p>
    <w:p>
      <w:pPr>
        <w:pStyle w:val="2"/>
      </w:pPr>
    </w:p>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0" w:num="1"/>
      <w:docGrid w:type="lines" w:linePitch="38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1" w:fontKey="{A0418985-6751-4FF1-8C0D-6AC106496415}"/>
  </w:font>
  <w:font w:name="仿宋">
    <w:panose1 w:val="02010609060101010101"/>
    <w:charset w:val="86"/>
    <w:family w:val="modern"/>
    <w:pitch w:val="default"/>
    <w:sig w:usb0="800002BF" w:usb1="38CF7CFA" w:usb2="00000016" w:usb3="00000000" w:csb0="00040001" w:csb1="00000000"/>
    <w:embedRegular r:id="rId2" w:fontKey="{F7492842-5919-4851-9D0F-C6C754AFFAF3}"/>
  </w:font>
  <w:font w:name="Cambria Math">
    <w:panose1 w:val="02040503050406030204"/>
    <w:charset w:val="00"/>
    <w:family w:val="roman"/>
    <w:pitch w:val="default"/>
    <w:sig w:usb0="E00006FF" w:usb1="420024FF" w:usb2="02000000" w:usb3="00000000" w:csb0="2000019F" w:csb1="00000000"/>
    <w:embedRegular r:id="rId3" w:fontKey="{7C93EB60-99D3-41E2-9F54-3397BCDE3D32}"/>
  </w:font>
  <w:font w:name="MS Gothic">
    <w:panose1 w:val="020B0609070205080204"/>
    <w:charset w:val="80"/>
    <w:family w:val="modern"/>
    <w:pitch w:val="default"/>
    <w:sig w:usb0="E00002FF" w:usb1="6AC7FDFB" w:usb2="08000012" w:usb3="00000000" w:csb0="4002009F" w:csb1="DFD70000"/>
    <w:embedRegular r:id="rId4" w:fontKey="{EB0FAFEA-6621-423E-99F4-6ED8B0A0408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599DE0"/>
    <w:multiLevelType w:val="singleLevel"/>
    <w:tmpl w:val="BB599DE0"/>
    <w:lvl w:ilvl="0" w:tentative="0">
      <w:start w:val="3"/>
      <w:numFmt w:val="chineseCounting"/>
      <w:suff w:val="nothing"/>
      <w:lvlText w:val="（%1）"/>
      <w:lvlJc w:val="left"/>
      <w:rPr>
        <w:rFonts w:hint="eastAsia"/>
      </w:rPr>
    </w:lvl>
  </w:abstractNum>
  <w:abstractNum w:abstractNumId="1">
    <w:nsid w:val="D669FDF2"/>
    <w:multiLevelType w:val="singleLevel"/>
    <w:tmpl w:val="D669FDF2"/>
    <w:lvl w:ilvl="0" w:tentative="0">
      <w:start w:val="2"/>
      <w:numFmt w:val="chineseCounting"/>
      <w:suff w:val="nothing"/>
      <w:lvlText w:val="（%1）"/>
      <w:lvlJc w:val="left"/>
      <w:rPr>
        <w:rFonts w:hint="eastAsia"/>
      </w:rPr>
    </w:lvl>
  </w:abstractNum>
  <w:abstractNum w:abstractNumId="2">
    <w:nsid w:val="DC9AED14"/>
    <w:multiLevelType w:val="singleLevel"/>
    <w:tmpl w:val="DC9AED14"/>
    <w:lvl w:ilvl="0" w:tentative="0">
      <w:start w:val="2"/>
      <w:numFmt w:val="decimal"/>
      <w:suff w:val="space"/>
      <w:lvlText w:val="%1."/>
      <w:lvlJc w:val="left"/>
    </w:lvl>
  </w:abstractNum>
  <w:abstractNum w:abstractNumId="3">
    <w:nsid w:val="04987266"/>
    <w:multiLevelType w:val="multilevel"/>
    <w:tmpl w:val="04987266"/>
    <w:lvl w:ilvl="0" w:tentative="0">
      <w:start w:val="3"/>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33BCFE58"/>
    <w:multiLevelType w:val="singleLevel"/>
    <w:tmpl w:val="33BCFE58"/>
    <w:lvl w:ilvl="0" w:tentative="0">
      <w:start w:val="1"/>
      <w:numFmt w:val="decimal"/>
      <w:suff w:val="space"/>
      <w:lvlText w:val="%1."/>
      <w:lvlJc w:val="left"/>
    </w:lvl>
  </w:abstractNum>
  <w:abstractNum w:abstractNumId="5">
    <w:nsid w:val="4C0CA210"/>
    <w:multiLevelType w:val="singleLevel"/>
    <w:tmpl w:val="4C0CA210"/>
    <w:lvl w:ilvl="0" w:tentative="0">
      <w:start w:val="1"/>
      <w:numFmt w:val="decimal"/>
      <w:suff w:val="space"/>
      <w:lvlText w:val="%1."/>
      <w:lvlJc w:val="left"/>
    </w:lvl>
  </w:abstractNum>
  <w:abstractNum w:abstractNumId="6">
    <w:nsid w:val="672D6E4F"/>
    <w:multiLevelType w:val="multilevel"/>
    <w:tmpl w:val="672D6E4F"/>
    <w:lvl w:ilvl="0" w:tentative="0">
      <w:start w:val="1"/>
      <w:numFmt w:val="decimal"/>
      <w:lvlText w:val="%1."/>
      <w:lvlJc w:val="left"/>
      <w:pPr>
        <w:ind w:left="780" w:hanging="360"/>
      </w:pPr>
      <w:rPr>
        <w:rFonts w:hint="eastAsia"/>
        <w:spacing w:val="0"/>
        <w:kern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6"/>
  </w:num>
  <w:num w:numId="3">
    <w:abstractNumId w:val="1"/>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210"/>
  <w:drawingGridVerticalSpacing w:val="194"/>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jMzVmMTRjMTEyY2Y5MWE2OTA1YzY4NjQ3YWQ5NGQifQ=="/>
    <w:docVar w:name="EN.InstantFormat" w:val="&lt;ENInstantFormat&gt;&lt;Enabled&gt;1&lt;/Enabled&gt;&lt;ScanUnformatted&gt;1&lt;/ScanUnformatted&gt;&lt;ScanChanges&gt;1&lt;/ScanChanges&gt;&lt;Suspended&gt;0&lt;/Suspended&gt;&lt;/ENInstantFormat&gt;"/>
    <w:docVar w:name="EN.Layout" w:val="&lt;ENLayout&gt;&lt;Style&gt;APA 6th 基金&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w50pzpwrep2aeerx4v2xdyaa5vzeftr0xv&quot;&gt;钨小论文&lt;record-ids&gt;&lt;item&gt;939&lt;/item&gt;&lt;item&gt;941&lt;/item&gt;&lt;item&gt;942&lt;/item&gt;&lt;item&gt;943&lt;/item&gt;&lt;item&gt;944&lt;/item&gt;&lt;item&gt;945&lt;/item&gt;&lt;item&gt;946&lt;/item&gt;&lt;item&gt;949&lt;/item&gt;&lt;item&gt;950&lt;/item&gt;&lt;item&gt;951&lt;/item&gt;&lt;item&gt;952&lt;/item&gt;&lt;item&gt;953&lt;/item&gt;&lt;item&gt;954&lt;/item&gt;&lt;item&gt;955&lt;/item&gt;&lt;item&gt;956&lt;/item&gt;&lt;item&gt;957&lt;/item&gt;&lt;item&gt;958&lt;/item&gt;&lt;item&gt;959&lt;/item&gt;&lt;item&gt;960&lt;/item&gt;&lt;item&gt;961&lt;/item&gt;&lt;item&gt;962&lt;/item&gt;&lt;item&gt;963&lt;/item&gt;&lt;item&gt;965&lt;/item&gt;&lt;item&gt;966&lt;/item&gt;&lt;item&gt;967&lt;/item&gt;&lt;item&gt;968&lt;/item&gt;&lt;item&gt;969&lt;/item&gt;&lt;item&gt;971&lt;/item&gt;&lt;/record-ids&gt;&lt;/item&gt;&lt;/Libraries&gt;"/>
  </w:docVars>
  <w:rsids>
    <w:rsidRoot w:val="1AA24D9F"/>
    <w:rsid w:val="0000495A"/>
    <w:rsid w:val="00004CD9"/>
    <w:rsid w:val="00032E45"/>
    <w:rsid w:val="00033E77"/>
    <w:rsid w:val="00035030"/>
    <w:rsid w:val="000359BE"/>
    <w:rsid w:val="00045B96"/>
    <w:rsid w:val="00072A74"/>
    <w:rsid w:val="000968CA"/>
    <w:rsid w:val="000F24FB"/>
    <w:rsid w:val="000F2AB6"/>
    <w:rsid w:val="00111A20"/>
    <w:rsid w:val="00142084"/>
    <w:rsid w:val="00143030"/>
    <w:rsid w:val="00164B5A"/>
    <w:rsid w:val="001736C3"/>
    <w:rsid w:val="00184558"/>
    <w:rsid w:val="00194A3E"/>
    <w:rsid w:val="001A1518"/>
    <w:rsid w:val="001B7CB6"/>
    <w:rsid w:val="001C3263"/>
    <w:rsid w:val="001E10AC"/>
    <w:rsid w:val="002165A7"/>
    <w:rsid w:val="00234BC0"/>
    <w:rsid w:val="00280CFF"/>
    <w:rsid w:val="00281BB6"/>
    <w:rsid w:val="002C4806"/>
    <w:rsid w:val="002D64F7"/>
    <w:rsid w:val="002F39AC"/>
    <w:rsid w:val="003376DF"/>
    <w:rsid w:val="00355D09"/>
    <w:rsid w:val="00364176"/>
    <w:rsid w:val="003654D0"/>
    <w:rsid w:val="00367CE5"/>
    <w:rsid w:val="003A290A"/>
    <w:rsid w:val="003C6D96"/>
    <w:rsid w:val="003D3029"/>
    <w:rsid w:val="003E77DD"/>
    <w:rsid w:val="0041435A"/>
    <w:rsid w:val="00414CFA"/>
    <w:rsid w:val="00425F9A"/>
    <w:rsid w:val="00434B47"/>
    <w:rsid w:val="00473031"/>
    <w:rsid w:val="00484E6D"/>
    <w:rsid w:val="00485799"/>
    <w:rsid w:val="004B1B4E"/>
    <w:rsid w:val="004E75CE"/>
    <w:rsid w:val="00503FCE"/>
    <w:rsid w:val="0053338A"/>
    <w:rsid w:val="00553E4D"/>
    <w:rsid w:val="005574FC"/>
    <w:rsid w:val="00557607"/>
    <w:rsid w:val="005874E2"/>
    <w:rsid w:val="005875F3"/>
    <w:rsid w:val="005C4294"/>
    <w:rsid w:val="0061178D"/>
    <w:rsid w:val="006605F8"/>
    <w:rsid w:val="006A7E66"/>
    <w:rsid w:val="006C7A09"/>
    <w:rsid w:val="006D06A9"/>
    <w:rsid w:val="006F0C5B"/>
    <w:rsid w:val="006F536C"/>
    <w:rsid w:val="00715616"/>
    <w:rsid w:val="00725F2D"/>
    <w:rsid w:val="0074705F"/>
    <w:rsid w:val="007D21EE"/>
    <w:rsid w:val="007F491E"/>
    <w:rsid w:val="00812A50"/>
    <w:rsid w:val="00814AB7"/>
    <w:rsid w:val="0082040D"/>
    <w:rsid w:val="00831296"/>
    <w:rsid w:val="008920BB"/>
    <w:rsid w:val="00896005"/>
    <w:rsid w:val="008C51E0"/>
    <w:rsid w:val="008D0051"/>
    <w:rsid w:val="008E0850"/>
    <w:rsid w:val="008F2B7F"/>
    <w:rsid w:val="008F5B48"/>
    <w:rsid w:val="00932927"/>
    <w:rsid w:val="0095139E"/>
    <w:rsid w:val="009727E8"/>
    <w:rsid w:val="00984CE3"/>
    <w:rsid w:val="009D710C"/>
    <w:rsid w:val="00A03C22"/>
    <w:rsid w:val="00A26808"/>
    <w:rsid w:val="00A91F23"/>
    <w:rsid w:val="00AB5942"/>
    <w:rsid w:val="00AD0B32"/>
    <w:rsid w:val="00AF21F5"/>
    <w:rsid w:val="00B14EB7"/>
    <w:rsid w:val="00B37E77"/>
    <w:rsid w:val="00B46918"/>
    <w:rsid w:val="00B667CD"/>
    <w:rsid w:val="00B77A57"/>
    <w:rsid w:val="00BA4809"/>
    <w:rsid w:val="00BD1269"/>
    <w:rsid w:val="00BD673E"/>
    <w:rsid w:val="00C138AD"/>
    <w:rsid w:val="00C3759B"/>
    <w:rsid w:val="00C415E4"/>
    <w:rsid w:val="00C4721D"/>
    <w:rsid w:val="00C51520"/>
    <w:rsid w:val="00C673CF"/>
    <w:rsid w:val="00CA3562"/>
    <w:rsid w:val="00CE0E0B"/>
    <w:rsid w:val="00D656CA"/>
    <w:rsid w:val="00D87CB6"/>
    <w:rsid w:val="00DA4048"/>
    <w:rsid w:val="00DA449A"/>
    <w:rsid w:val="00DE13F5"/>
    <w:rsid w:val="00DE17A8"/>
    <w:rsid w:val="00E10126"/>
    <w:rsid w:val="00E62B8D"/>
    <w:rsid w:val="00E741E2"/>
    <w:rsid w:val="00E77949"/>
    <w:rsid w:val="00E93DB9"/>
    <w:rsid w:val="00EA46C2"/>
    <w:rsid w:val="00EC6C38"/>
    <w:rsid w:val="00ED53C8"/>
    <w:rsid w:val="00EE3C2A"/>
    <w:rsid w:val="00EF6C24"/>
    <w:rsid w:val="00F15FB9"/>
    <w:rsid w:val="00F20A04"/>
    <w:rsid w:val="00F4254E"/>
    <w:rsid w:val="00F65F5E"/>
    <w:rsid w:val="00FF1F8D"/>
    <w:rsid w:val="013A706B"/>
    <w:rsid w:val="01414A03"/>
    <w:rsid w:val="01542D94"/>
    <w:rsid w:val="01565F5C"/>
    <w:rsid w:val="01566568"/>
    <w:rsid w:val="015D0D5E"/>
    <w:rsid w:val="015E29D3"/>
    <w:rsid w:val="01730582"/>
    <w:rsid w:val="01781474"/>
    <w:rsid w:val="017916A6"/>
    <w:rsid w:val="017B2312"/>
    <w:rsid w:val="01944054"/>
    <w:rsid w:val="01A43649"/>
    <w:rsid w:val="01BA40A3"/>
    <w:rsid w:val="01D31E0E"/>
    <w:rsid w:val="01DB2881"/>
    <w:rsid w:val="01DE2D5F"/>
    <w:rsid w:val="01DF4FF0"/>
    <w:rsid w:val="01E2048B"/>
    <w:rsid w:val="01E37D82"/>
    <w:rsid w:val="01EA5991"/>
    <w:rsid w:val="01EF572E"/>
    <w:rsid w:val="01F114A6"/>
    <w:rsid w:val="0228070C"/>
    <w:rsid w:val="023F66B6"/>
    <w:rsid w:val="0248315D"/>
    <w:rsid w:val="025051E5"/>
    <w:rsid w:val="0261662C"/>
    <w:rsid w:val="02642AA9"/>
    <w:rsid w:val="02663402"/>
    <w:rsid w:val="02907ECF"/>
    <w:rsid w:val="02B900CD"/>
    <w:rsid w:val="02ED2DDB"/>
    <w:rsid w:val="03045209"/>
    <w:rsid w:val="03125B78"/>
    <w:rsid w:val="03197D80"/>
    <w:rsid w:val="03231B33"/>
    <w:rsid w:val="037216E9"/>
    <w:rsid w:val="037460D1"/>
    <w:rsid w:val="03822CFE"/>
    <w:rsid w:val="03880463"/>
    <w:rsid w:val="03887BE8"/>
    <w:rsid w:val="03966344"/>
    <w:rsid w:val="03A55E7A"/>
    <w:rsid w:val="03AE7116"/>
    <w:rsid w:val="03B106FD"/>
    <w:rsid w:val="03C3096B"/>
    <w:rsid w:val="03DB0081"/>
    <w:rsid w:val="03DC16D6"/>
    <w:rsid w:val="03EA6562"/>
    <w:rsid w:val="03FB51F8"/>
    <w:rsid w:val="04057F5F"/>
    <w:rsid w:val="0419633C"/>
    <w:rsid w:val="042518DB"/>
    <w:rsid w:val="04385E79"/>
    <w:rsid w:val="043A7135"/>
    <w:rsid w:val="044773B2"/>
    <w:rsid w:val="04604903"/>
    <w:rsid w:val="04644970"/>
    <w:rsid w:val="046657AD"/>
    <w:rsid w:val="049A0466"/>
    <w:rsid w:val="04A22F2C"/>
    <w:rsid w:val="04BE0045"/>
    <w:rsid w:val="04D00599"/>
    <w:rsid w:val="04EA3DA3"/>
    <w:rsid w:val="04FC443D"/>
    <w:rsid w:val="051E38D6"/>
    <w:rsid w:val="05216909"/>
    <w:rsid w:val="05255908"/>
    <w:rsid w:val="052A1EA2"/>
    <w:rsid w:val="052E636D"/>
    <w:rsid w:val="05340028"/>
    <w:rsid w:val="05355B4E"/>
    <w:rsid w:val="053A4159"/>
    <w:rsid w:val="053E43B8"/>
    <w:rsid w:val="05452235"/>
    <w:rsid w:val="054D05CE"/>
    <w:rsid w:val="057B0FEA"/>
    <w:rsid w:val="057B7801"/>
    <w:rsid w:val="05852631"/>
    <w:rsid w:val="05893A94"/>
    <w:rsid w:val="058B3A80"/>
    <w:rsid w:val="05A53F25"/>
    <w:rsid w:val="05A72198"/>
    <w:rsid w:val="05AB7BBE"/>
    <w:rsid w:val="05DE2492"/>
    <w:rsid w:val="05DE61E6"/>
    <w:rsid w:val="05ED01D7"/>
    <w:rsid w:val="05F40986"/>
    <w:rsid w:val="05FE47CF"/>
    <w:rsid w:val="06116D57"/>
    <w:rsid w:val="06144D22"/>
    <w:rsid w:val="06216017"/>
    <w:rsid w:val="06377F67"/>
    <w:rsid w:val="063B35DF"/>
    <w:rsid w:val="064443B4"/>
    <w:rsid w:val="065F10D4"/>
    <w:rsid w:val="06604E4C"/>
    <w:rsid w:val="0667442D"/>
    <w:rsid w:val="06762B79"/>
    <w:rsid w:val="067A1050"/>
    <w:rsid w:val="06B06DC8"/>
    <w:rsid w:val="06B4491D"/>
    <w:rsid w:val="06B83A6E"/>
    <w:rsid w:val="06BA1363"/>
    <w:rsid w:val="06C158EB"/>
    <w:rsid w:val="06C61153"/>
    <w:rsid w:val="06E536AB"/>
    <w:rsid w:val="06E75D88"/>
    <w:rsid w:val="06F34995"/>
    <w:rsid w:val="06F75BA2"/>
    <w:rsid w:val="07011CC2"/>
    <w:rsid w:val="070B5E85"/>
    <w:rsid w:val="07347229"/>
    <w:rsid w:val="073C7FDB"/>
    <w:rsid w:val="07541680"/>
    <w:rsid w:val="07554285"/>
    <w:rsid w:val="07644792"/>
    <w:rsid w:val="076F3599"/>
    <w:rsid w:val="07730ECD"/>
    <w:rsid w:val="077527E8"/>
    <w:rsid w:val="077556A0"/>
    <w:rsid w:val="07763F1B"/>
    <w:rsid w:val="078C305E"/>
    <w:rsid w:val="078F1E3A"/>
    <w:rsid w:val="0795242B"/>
    <w:rsid w:val="079C262E"/>
    <w:rsid w:val="07A10C99"/>
    <w:rsid w:val="07AA637F"/>
    <w:rsid w:val="07CD02C0"/>
    <w:rsid w:val="07D279C7"/>
    <w:rsid w:val="07DC15D4"/>
    <w:rsid w:val="07DD2E1C"/>
    <w:rsid w:val="07EBA019"/>
    <w:rsid w:val="07F41CF0"/>
    <w:rsid w:val="08001072"/>
    <w:rsid w:val="08013A0C"/>
    <w:rsid w:val="0804576E"/>
    <w:rsid w:val="080812F8"/>
    <w:rsid w:val="08145EEF"/>
    <w:rsid w:val="08242A95"/>
    <w:rsid w:val="08420257"/>
    <w:rsid w:val="08514CBB"/>
    <w:rsid w:val="08674270"/>
    <w:rsid w:val="087144A8"/>
    <w:rsid w:val="08777532"/>
    <w:rsid w:val="088E13AC"/>
    <w:rsid w:val="08986B20"/>
    <w:rsid w:val="089D4136"/>
    <w:rsid w:val="08A02B72"/>
    <w:rsid w:val="08AF7661"/>
    <w:rsid w:val="08CA7B35"/>
    <w:rsid w:val="08F732DC"/>
    <w:rsid w:val="08F75BBB"/>
    <w:rsid w:val="08FE5CED"/>
    <w:rsid w:val="090D303B"/>
    <w:rsid w:val="09196E58"/>
    <w:rsid w:val="09216B15"/>
    <w:rsid w:val="092263E9"/>
    <w:rsid w:val="09284798"/>
    <w:rsid w:val="09410F65"/>
    <w:rsid w:val="095C3B4B"/>
    <w:rsid w:val="09656CA2"/>
    <w:rsid w:val="096B1367"/>
    <w:rsid w:val="09730E8F"/>
    <w:rsid w:val="09745617"/>
    <w:rsid w:val="09851FD8"/>
    <w:rsid w:val="09BC7A1B"/>
    <w:rsid w:val="09C05BDB"/>
    <w:rsid w:val="09C21316"/>
    <w:rsid w:val="09C32A1B"/>
    <w:rsid w:val="09D75426"/>
    <w:rsid w:val="0A1A2772"/>
    <w:rsid w:val="0A391C3C"/>
    <w:rsid w:val="0A5B2AD2"/>
    <w:rsid w:val="0A603163"/>
    <w:rsid w:val="0AB17B73"/>
    <w:rsid w:val="0AB459D7"/>
    <w:rsid w:val="0ABA54AE"/>
    <w:rsid w:val="0ACE05D7"/>
    <w:rsid w:val="0AD83203"/>
    <w:rsid w:val="0ADB7197"/>
    <w:rsid w:val="0AE4204D"/>
    <w:rsid w:val="0AF36FF9"/>
    <w:rsid w:val="0AF80B1F"/>
    <w:rsid w:val="0B0F6C00"/>
    <w:rsid w:val="0B237A5D"/>
    <w:rsid w:val="0B2B5A29"/>
    <w:rsid w:val="0B3D0C39"/>
    <w:rsid w:val="0B420FC5"/>
    <w:rsid w:val="0B5E53CD"/>
    <w:rsid w:val="0B6158EF"/>
    <w:rsid w:val="0B622195"/>
    <w:rsid w:val="0B6739CD"/>
    <w:rsid w:val="0B7C3034"/>
    <w:rsid w:val="0B7FCDEF"/>
    <w:rsid w:val="0B8B471A"/>
    <w:rsid w:val="0B925DD0"/>
    <w:rsid w:val="0B9F1845"/>
    <w:rsid w:val="0BAF4976"/>
    <w:rsid w:val="0BBE6246"/>
    <w:rsid w:val="0BCA3494"/>
    <w:rsid w:val="0BD0037E"/>
    <w:rsid w:val="0BE052CD"/>
    <w:rsid w:val="0BF627AF"/>
    <w:rsid w:val="0BFD32C2"/>
    <w:rsid w:val="0BFD6C84"/>
    <w:rsid w:val="0C087B18"/>
    <w:rsid w:val="0C0F332E"/>
    <w:rsid w:val="0C191952"/>
    <w:rsid w:val="0C24136F"/>
    <w:rsid w:val="0C434FF4"/>
    <w:rsid w:val="0C497A08"/>
    <w:rsid w:val="0C4D7C21"/>
    <w:rsid w:val="0C535778"/>
    <w:rsid w:val="0C6622A2"/>
    <w:rsid w:val="0C6E7535"/>
    <w:rsid w:val="0C77125C"/>
    <w:rsid w:val="0C9475FE"/>
    <w:rsid w:val="0C9523B7"/>
    <w:rsid w:val="0CAF6AB8"/>
    <w:rsid w:val="0CE71E24"/>
    <w:rsid w:val="0CE93BFB"/>
    <w:rsid w:val="0CFA1823"/>
    <w:rsid w:val="0D002EE5"/>
    <w:rsid w:val="0D260E5A"/>
    <w:rsid w:val="0D353CE7"/>
    <w:rsid w:val="0D3E4AB8"/>
    <w:rsid w:val="0D3F57BC"/>
    <w:rsid w:val="0D44540F"/>
    <w:rsid w:val="0D684ABA"/>
    <w:rsid w:val="0D780CCE"/>
    <w:rsid w:val="0D7FA77D"/>
    <w:rsid w:val="0D984ABD"/>
    <w:rsid w:val="0DBC3F5E"/>
    <w:rsid w:val="0DD65ED6"/>
    <w:rsid w:val="0DDA1DA8"/>
    <w:rsid w:val="0DFC6EB6"/>
    <w:rsid w:val="0DFF47ED"/>
    <w:rsid w:val="0E3743A4"/>
    <w:rsid w:val="0E3D1FDC"/>
    <w:rsid w:val="0E464928"/>
    <w:rsid w:val="0E6B6866"/>
    <w:rsid w:val="0E6D0107"/>
    <w:rsid w:val="0E7B4348"/>
    <w:rsid w:val="0E836BDA"/>
    <w:rsid w:val="0E8C469F"/>
    <w:rsid w:val="0EBA72EC"/>
    <w:rsid w:val="0EC07104"/>
    <w:rsid w:val="0ED050E8"/>
    <w:rsid w:val="0ED63EFE"/>
    <w:rsid w:val="0EE965EA"/>
    <w:rsid w:val="0EFB6D9A"/>
    <w:rsid w:val="0EFBB6A7"/>
    <w:rsid w:val="0EFEAF24"/>
    <w:rsid w:val="0F0C5CF8"/>
    <w:rsid w:val="0F2B6FD9"/>
    <w:rsid w:val="0F462096"/>
    <w:rsid w:val="0F5D33DD"/>
    <w:rsid w:val="0F6312FE"/>
    <w:rsid w:val="0F7A6F7F"/>
    <w:rsid w:val="0F7FF752"/>
    <w:rsid w:val="0FA1450C"/>
    <w:rsid w:val="0FB75D90"/>
    <w:rsid w:val="0FC11D43"/>
    <w:rsid w:val="0FD46693"/>
    <w:rsid w:val="0FE8213B"/>
    <w:rsid w:val="0FF54858"/>
    <w:rsid w:val="0FF66748"/>
    <w:rsid w:val="0FFC339B"/>
    <w:rsid w:val="10267B04"/>
    <w:rsid w:val="1032785A"/>
    <w:rsid w:val="10472B33"/>
    <w:rsid w:val="10497711"/>
    <w:rsid w:val="104E6615"/>
    <w:rsid w:val="10612637"/>
    <w:rsid w:val="107B1489"/>
    <w:rsid w:val="10852ECB"/>
    <w:rsid w:val="108F4A10"/>
    <w:rsid w:val="10B17A4D"/>
    <w:rsid w:val="10B62239"/>
    <w:rsid w:val="10FD74D6"/>
    <w:rsid w:val="11004589"/>
    <w:rsid w:val="110F36F7"/>
    <w:rsid w:val="111B7916"/>
    <w:rsid w:val="113F08FD"/>
    <w:rsid w:val="11477335"/>
    <w:rsid w:val="114B1291"/>
    <w:rsid w:val="114D23C1"/>
    <w:rsid w:val="115A36DF"/>
    <w:rsid w:val="11761B3A"/>
    <w:rsid w:val="118539B9"/>
    <w:rsid w:val="11987014"/>
    <w:rsid w:val="11A83289"/>
    <w:rsid w:val="11B23510"/>
    <w:rsid w:val="11B479E7"/>
    <w:rsid w:val="11C442D8"/>
    <w:rsid w:val="11F3335E"/>
    <w:rsid w:val="12062D4C"/>
    <w:rsid w:val="12072620"/>
    <w:rsid w:val="12084307"/>
    <w:rsid w:val="12154D3D"/>
    <w:rsid w:val="12160CE1"/>
    <w:rsid w:val="124768D3"/>
    <w:rsid w:val="125B4DE6"/>
    <w:rsid w:val="12675451"/>
    <w:rsid w:val="126815DB"/>
    <w:rsid w:val="128310BB"/>
    <w:rsid w:val="12851EC3"/>
    <w:rsid w:val="12852F30"/>
    <w:rsid w:val="12A600B7"/>
    <w:rsid w:val="12BD7F31"/>
    <w:rsid w:val="12BE53D5"/>
    <w:rsid w:val="12C423C9"/>
    <w:rsid w:val="12C44409"/>
    <w:rsid w:val="12EB5345"/>
    <w:rsid w:val="12F773AA"/>
    <w:rsid w:val="130059ED"/>
    <w:rsid w:val="130C11DC"/>
    <w:rsid w:val="131216A2"/>
    <w:rsid w:val="132A1271"/>
    <w:rsid w:val="13491082"/>
    <w:rsid w:val="134D0507"/>
    <w:rsid w:val="135E3946"/>
    <w:rsid w:val="13806B2E"/>
    <w:rsid w:val="13892E2F"/>
    <w:rsid w:val="139323BD"/>
    <w:rsid w:val="13936861"/>
    <w:rsid w:val="139D1E32"/>
    <w:rsid w:val="13A50D99"/>
    <w:rsid w:val="13A74451"/>
    <w:rsid w:val="13AC2B57"/>
    <w:rsid w:val="13AE6FC6"/>
    <w:rsid w:val="13B912A1"/>
    <w:rsid w:val="13BCE286"/>
    <w:rsid w:val="13E5512D"/>
    <w:rsid w:val="13E9341C"/>
    <w:rsid w:val="13EE4B9B"/>
    <w:rsid w:val="13FF9786"/>
    <w:rsid w:val="141737FA"/>
    <w:rsid w:val="142C247F"/>
    <w:rsid w:val="14347D82"/>
    <w:rsid w:val="144C180C"/>
    <w:rsid w:val="14567409"/>
    <w:rsid w:val="146A05E4"/>
    <w:rsid w:val="146B6E96"/>
    <w:rsid w:val="147222B2"/>
    <w:rsid w:val="147246C9"/>
    <w:rsid w:val="147D6C97"/>
    <w:rsid w:val="147F0B94"/>
    <w:rsid w:val="148951C4"/>
    <w:rsid w:val="14952165"/>
    <w:rsid w:val="149E7350"/>
    <w:rsid w:val="14BC34EF"/>
    <w:rsid w:val="14D913C2"/>
    <w:rsid w:val="14E25594"/>
    <w:rsid w:val="14EA7401"/>
    <w:rsid w:val="14F51BFA"/>
    <w:rsid w:val="152534E9"/>
    <w:rsid w:val="15367812"/>
    <w:rsid w:val="153876C0"/>
    <w:rsid w:val="153B3ECA"/>
    <w:rsid w:val="15523757"/>
    <w:rsid w:val="15681628"/>
    <w:rsid w:val="156F3987"/>
    <w:rsid w:val="157B135B"/>
    <w:rsid w:val="157D50D3"/>
    <w:rsid w:val="15A97411"/>
    <w:rsid w:val="15AB3A40"/>
    <w:rsid w:val="15D25738"/>
    <w:rsid w:val="15D610E1"/>
    <w:rsid w:val="15DB44F0"/>
    <w:rsid w:val="1604747C"/>
    <w:rsid w:val="1607353E"/>
    <w:rsid w:val="16074E97"/>
    <w:rsid w:val="16251382"/>
    <w:rsid w:val="1626576B"/>
    <w:rsid w:val="16302145"/>
    <w:rsid w:val="164148F4"/>
    <w:rsid w:val="16561375"/>
    <w:rsid w:val="16753FFC"/>
    <w:rsid w:val="1695469E"/>
    <w:rsid w:val="16963E20"/>
    <w:rsid w:val="169B02CB"/>
    <w:rsid w:val="169F5637"/>
    <w:rsid w:val="16AE34C0"/>
    <w:rsid w:val="16B06D00"/>
    <w:rsid w:val="16B54D41"/>
    <w:rsid w:val="16C1729B"/>
    <w:rsid w:val="16D476F1"/>
    <w:rsid w:val="16DB6903"/>
    <w:rsid w:val="16E11893"/>
    <w:rsid w:val="16EF0253"/>
    <w:rsid w:val="16FE40BB"/>
    <w:rsid w:val="171B24B4"/>
    <w:rsid w:val="171D3DF3"/>
    <w:rsid w:val="172A294C"/>
    <w:rsid w:val="173ADDAD"/>
    <w:rsid w:val="174338E9"/>
    <w:rsid w:val="174A03C5"/>
    <w:rsid w:val="1750790A"/>
    <w:rsid w:val="175ED3B7"/>
    <w:rsid w:val="176669FA"/>
    <w:rsid w:val="17681DB3"/>
    <w:rsid w:val="176B1D23"/>
    <w:rsid w:val="1777CF3B"/>
    <w:rsid w:val="178D0A2A"/>
    <w:rsid w:val="1796659D"/>
    <w:rsid w:val="17976A81"/>
    <w:rsid w:val="17AA59DD"/>
    <w:rsid w:val="17B1635B"/>
    <w:rsid w:val="17E6E6B3"/>
    <w:rsid w:val="17FA27BD"/>
    <w:rsid w:val="17FB0EBD"/>
    <w:rsid w:val="18047D2E"/>
    <w:rsid w:val="180C6BE2"/>
    <w:rsid w:val="180F51E8"/>
    <w:rsid w:val="1811244B"/>
    <w:rsid w:val="18211DB1"/>
    <w:rsid w:val="183C240D"/>
    <w:rsid w:val="185D743E"/>
    <w:rsid w:val="187109D1"/>
    <w:rsid w:val="18787DD4"/>
    <w:rsid w:val="187B70B9"/>
    <w:rsid w:val="187F1162"/>
    <w:rsid w:val="18A91EEE"/>
    <w:rsid w:val="18D17096"/>
    <w:rsid w:val="18EF1AA1"/>
    <w:rsid w:val="18F31380"/>
    <w:rsid w:val="18F558C8"/>
    <w:rsid w:val="18F7519C"/>
    <w:rsid w:val="18F84049"/>
    <w:rsid w:val="19067AD5"/>
    <w:rsid w:val="190F19C3"/>
    <w:rsid w:val="191A0E8B"/>
    <w:rsid w:val="191D7B19"/>
    <w:rsid w:val="193361C3"/>
    <w:rsid w:val="1938118C"/>
    <w:rsid w:val="194427F2"/>
    <w:rsid w:val="19551A49"/>
    <w:rsid w:val="19640A7D"/>
    <w:rsid w:val="199466D9"/>
    <w:rsid w:val="19996254"/>
    <w:rsid w:val="19C1039A"/>
    <w:rsid w:val="19F422B4"/>
    <w:rsid w:val="19F745AA"/>
    <w:rsid w:val="19FE7BC5"/>
    <w:rsid w:val="19FEF344"/>
    <w:rsid w:val="1A02029D"/>
    <w:rsid w:val="1A216589"/>
    <w:rsid w:val="1A3366A8"/>
    <w:rsid w:val="1A4626CC"/>
    <w:rsid w:val="1A491E89"/>
    <w:rsid w:val="1A5A3D17"/>
    <w:rsid w:val="1A5D1977"/>
    <w:rsid w:val="1A5F124B"/>
    <w:rsid w:val="1A6635DD"/>
    <w:rsid w:val="1A6B6F95"/>
    <w:rsid w:val="1A7171D0"/>
    <w:rsid w:val="1A9058A9"/>
    <w:rsid w:val="1A954C6D"/>
    <w:rsid w:val="1AA24D9F"/>
    <w:rsid w:val="1AB44CD3"/>
    <w:rsid w:val="1ABE22CB"/>
    <w:rsid w:val="1ACC0979"/>
    <w:rsid w:val="1AD67034"/>
    <w:rsid w:val="1AFEC3DA"/>
    <w:rsid w:val="1B081C1D"/>
    <w:rsid w:val="1B1D1E8B"/>
    <w:rsid w:val="1B3B1CB8"/>
    <w:rsid w:val="1B5468D6"/>
    <w:rsid w:val="1B5944E3"/>
    <w:rsid w:val="1B5A10D6"/>
    <w:rsid w:val="1B7A20B5"/>
    <w:rsid w:val="1B80591D"/>
    <w:rsid w:val="1B81230E"/>
    <w:rsid w:val="1B8F3DB2"/>
    <w:rsid w:val="1B9A1D4F"/>
    <w:rsid w:val="1BB315FD"/>
    <w:rsid w:val="1BB32FDB"/>
    <w:rsid w:val="1BBB6EB5"/>
    <w:rsid w:val="1BBD013E"/>
    <w:rsid w:val="1BCA6A0D"/>
    <w:rsid w:val="1BF72922"/>
    <w:rsid w:val="1BFF7A30"/>
    <w:rsid w:val="1C11031E"/>
    <w:rsid w:val="1C1A4110"/>
    <w:rsid w:val="1C2255D4"/>
    <w:rsid w:val="1C2F10F1"/>
    <w:rsid w:val="1C327C48"/>
    <w:rsid w:val="1C3A1459"/>
    <w:rsid w:val="1C511068"/>
    <w:rsid w:val="1C8431EB"/>
    <w:rsid w:val="1C890801"/>
    <w:rsid w:val="1C972C68"/>
    <w:rsid w:val="1CB17093"/>
    <w:rsid w:val="1CB834AA"/>
    <w:rsid w:val="1CBF4223"/>
    <w:rsid w:val="1CC73D4A"/>
    <w:rsid w:val="1CD26DE6"/>
    <w:rsid w:val="1CD37B43"/>
    <w:rsid w:val="1CD7058E"/>
    <w:rsid w:val="1CE97ACB"/>
    <w:rsid w:val="1CEC1D3A"/>
    <w:rsid w:val="1CEC4AB5"/>
    <w:rsid w:val="1CFE39F6"/>
    <w:rsid w:val="1D0F4A0D"/>
    <w:rsid w:val="1D1203BE"/>
    <w:rsid w:val="1D2422D8"/>
    <w:rsid w:val="1D287E09"/>
    <w:rsid w:val="1D397D41"/>
    <w:rsid w:val="1D3D200B"/>
    <w:rsid w:val="1D3E0495"/>
    <w:rsid w:val="1D482603"/>
    <w:rsid w:val="1D4E165E"/>
    <w:rsid w:val="1D4F48F9"/>
    <w:rsid w:val="1D526C7A"/>
    <w:rsid w:val="1D590977"/>
    <w:rsid w:val="1D635D74"/>
    <w:rsid w:val="1D7D24C4"/>
    <w:rsid w:val="1D7F79EF"/>
    <w:rsid w:val="1D8712C5"/>
    <w:rsid w:val="1D93C94D"/>
    <w:rsid w:val="1DAE0E7A"/>
    <w:rsid w:val="1DB8E77F"/>
    <w:rsid w:val="1DE43E33"/>
    <w:rsid w:val="1DE524CA"/>
    <w:rsid w:val="1DF00869"/>
    <w:rsid w:val="1DFD5D7D"/>
    <w:rsid w:val="1E0068A1"/>
    <w:rsid w:val="1E146BC0"/>
    <w:rsid w:val="1E1E3ED2"/>
    <w:rsid w:val="1E231347"/>
    <w:rsid w:val="1E2642CF"/>
    <w:rsid w:val="1E2A7DC2"/>
    <w:rsid w:val="1E46686C"/>
    <w:rsid w:val="1E54477C"/>
    <w:rsid w:val="1E594203"/>
    <w:rsid w:val="1E5B3311"/>
    <w:rsid w:val="1E5E62B7"/>
    <w:rsid w:val="1E685BCF"/>
    <w:rsid w:val="1E7A2AF8"/>
    <w:rsid w:val="1E7B6942"/>
    <w:rsid w:val="1E7B7755"/>
    <w:rsid w:val="1E7F3CA2"/>
    <w:rsid w:val="1E7FB757"/>
    <w:rsid w:val="1EA45602"/>
    <w:rsid w:val="1EAC3703"/>
    <w:rsid w:val="1EBD33AF"/>
    <w:rsid w:val="1EC73863"/>
    <w:rsid w:val="1ECA6EAF"/>
    <w:rsid w:val="1EDD6B2A"/>
    <w:rsid w:val="1EDE407C"/>
    <w:rsid w:val="1EE45B97"/>
    <w:rsid w:val="1EF6AA34"/>
    <w:rsid w:val="1EF96C62"/>
    <w:rsid w:val="1F045A80"/>
    <w:rsid w:val="1F1106B2"/>
    <w:rsid w:val="1F1C406A"/>
    <w:rsid w:val="1F2667DB"/>
    <w:rsid w:val="1F394761"/>
    <w:rsid w:val="1F4BA13D"/>
    <w:rsid w:val="1F550A14"/>
    <w:rsid w:val="1F6D11FD"/>
    <w:rsid w:val="1F752B76"/>
    <w:rsid w:val="1F79690E"/>
    <w:rsid w:val="1F7AD82C"/>
    <w:rsid w:val="1F7B3B4D"/>
    <w:rsid w:val="1F7FAE74"/>
    <w:rsid w:val="1F7FE225"/>
    <w:rsid w:val="1F8D2084"/>
    <w:rsid w:val="1FA40546"/>
    <w:rsid w:val="1FA73327"/>
    <w:rsid w:val="1FB90D10"/>
    <w:rsid w:val="1FBC2C9C"/>
    <w:rsid w:val="1FBE5C57"/>
    <w:rsid w:val="1FBF56C5"/>
    <w:rsid w:val="1FCD7F3A"/>
    <w:rsid w:val="1FCFB084"/>
    <w:rsid w:val="1FD7819B"/>
    <w:rsid w:val="1FDFC970"/>
    <w:rsid w:val="1FEFBC33"/>
    <w:rsid w:val="1FF77DEB"/>
    <w:rsid w:val="1FFA4800"/>
    <w:rsid w:val="1FFC7219"/>
    <w:rsid w:val="1FFE3712"/>
    <w:rsid w:val="1FFEC5B1"/>
    <w:rsid w:val="1FFF15CD"/>
    <w:rsid w:val="1FFF9B26"/>
    <w:rsid w:val="200031D2"/>
    <w:rsid w:val="2001516D"/>
    <w:rsid w:val="20076740"/>
    <w:rsid w:val="20112FE8"/>
    <w:rsid w:val="201B4440"/>
    <w:rsid w:val="201F78B7"/>
    <w:rsid w:val="202076CF"/>
    <w:rsid w:val="203903AF"/>
    <w:rsid w:val="204607B7"/>
    <w:rsid w:val="204F5741"/>
    <w:rsid w:val="205B3D3B"/>
    <w:rsid w:val="20671F7C"/>
    <w:rsid w:val="206D4539"/>
    <w:rsid w:val="20716543"/>
    <w:rsid w:val="2096340D"/>
    <w:rsid w:val="209C26F7"/>
    <w:rsid w:val="20A2041A"/>
    <w:rsid w:val="20AE799C"/>
    <w:rsid w:val="20C54A27"/>
    <w:rsid w:val="20C54B73"/>
    <w:rsid w:val="20CC33B3"/>
    <w:rsid w:val="20D27239"/>
    <w:rsid w:val="20D77188"/>
    <w:rsid w:val="20D817C2"/>
    <w:rsid w:val="20DA4593"/>
    <w:rsid w:val="20EB5C0D"/>
    <w:rsid w:val="20F335E5"/>
    <w:rsid w:val="20FE7095"/>
    <w:rsid w:val="211540F8"/>
    <w:rsid w:val="211A2370"/>
    <w:rsid w:val="212B5512"/>
    <w:rsid w:val="21365926"/>
    <w:rsid w:val="2146043D"/>
    <w:rsid w:val="214A0D59"/>
    <w:rsid w:val="21555156"/>
    <w:rsid w:val="215F7AB8"/>
    <w:rsid w:val="21780E44"/>
    <w:rsid w:val="217A4BBD"/>
    <w:rsid w:val="21853283"/>
    <w:rsid w:val="219F2875"/>
    <w:rsid w:val="21AB2FC8"/>
    <w:rsid w:val="21AB49A6"/>
    <w:rsid w:val="21CA734B"/>
    <w:rsid w:val="21CE64C5"/>
    <w:rsid w:val="21D270C2"/>
    <w:rsid w:val="21D45C93"/>
    <w:rsid w:val="21D5662C"/>
    <w:rsid w:val="21E32762"/>
    <w:rsid w:val="21EB1616"/>
    <w:rsid w:val="21FF530A"/>
    <w:rsid w:val="220D298D"/>
    <w:rsid w:val="22146DBF"/>
    <w:rsid w:val="222237A5"/>
    <w:rsid w:val="222541A6"/>
    <w:rsid w:val="222679CE"/>
    <w:rsid w:val="22295C18"/>
    <w:rsid w:val="22301020"/>
    <w:rsid w:val="225D173D"/>
    <w:rsid w:val="225E003A"/>
    <w:rsid w:val="227B5090"/>
    <w:rsid w:val="227C4964"/>
    <w:rsid w:val="228069B0"/>
    <w:rsid w:val="2287070F"/>
    <w:rsid w:val="228D26CE"/>
    <w:rsid w:val="2290116C"/>
    <w:rsid w:val="229879F0"/>
    <w:rsid w:val="22A4755F"/>
    <w:rsid w:val="22AF554D"/>
    <w:rsid w:val="22BD7B2C"/>
    <w:rsid w:val="22C4769E"/>
    <w:rsid w:val="22CF3542"/>
    <w:rsid w:val="232C0139"/>
    <w:rsid w:val="23577F9F"/>
    <w:rsid w:val="236D0295"/>
    <w:rsid w:val="236F6BEA"/>
    <w:rsid w:val="23734E43"/>
    <w:rsid w:val="23757D31"/>
    <w:rsid w:val="237750EB"/>
    <w:rsid w:val="2378337E"/>
    <w:rsid w:val="237A2980"/>
    <w:rsid w:val="237C0C0E"/>
    <w:rsid w:val="237D1CD9"/>
    <w:rsid w:val="237E79EB"/>
    <w:rsid w:val="23825FAA"/>
    <w:rsid w:val="23974F97"/>
    <w:rsid w:val="239D1036"/>
    <w:rsid w:val="23A16EDB"/>
    <w:rsid w:val="23A233FC"/>
    <w:rsid w:val="23C470B1"/>
    <w:rsid w:val="23C94BC5"/>
    <w:rsid w:val="23D039F6"/>
    <w:rsid w:val="23F31E37"/>
    <w:rsid w:val="240306B9"/>
    <w:rsid w:val="241308D1"/>
    <w:rsid w:val="241A61E3"/>
    <w:rsid w:val="2432352D"/>
    <w:rsid w:val="24343749"/>
    <w:rsid w:val="2438146A"/>
    <w:rsid w:val="24407B10"/>
    <w:rsid w:val="24661428"/>
    <w:rsid w:val="248552A7"/>
    <w:rsid w:val="248833EF"/>
    <w:rsid w:val="248B0E8F"/>
    <w:rsid w:val="24AE34FB"/>
    <w:rsid w:val="24C16153"/>
    <w:rsid w:val="24C87B8F"/>
    <w:rsid w:val="24D452EA"/>
    <w:rsid w:val="24F21DB7"/>
    <w:rsid w:val="24F61ECA"/>
    <w:rsid w:val="24F73109"/>
    <w:rsid w:val="24F865EC"/>
    <w:rsid w:val="250E17B9"/>
    <w:rsid w:val="25116B15"/>
    <w:rsid w:val="251858F8"/>
    <w:rsid w:val="252436F8"/>
    <w:rsid w:val="25293AE1"/>
    <w:rsid w:val="252A2249"/>
    <w:rsid w:val="25591B6A"/>
    <w:rsid w:val="257FF667"/>
    <w:rsid w:val="25962CC6"/>
    <w:rsid w:val="259C23C5"/>
    <w:rsid w:val="25AB4ED3"/>
    <w:rsid w:val="25BD490F"/>
    <w:rsid w:val="25C446D8"/>
    <w:rsid w:val="25D850A5"/>
    <w:rsid w:val="25DF1492"/>
    <w:rsid w:val="25F820ED"/>
    <w:rsid w:val="25FF2D55"/>
    <w:rsid w:val="260D7C76"/>
    <w:rsid w:val="26127143"/>
    <w:rsid w:val="26131EB0"/>
    <w:rsid w:val="26211AAB"/>
    <w:rsid w:val="26331252"/>
    <w:rsid w:val="263A747E"/>
    <w:rsid w:val="26465DEF"/>
    <w:rsid w:val="26546F84"/>
    <w:rsid w:val="2658630B"/>
    <w:rsid w:val="26597496"/>
    <w:rsid w:val="2674607E"/>
    <w:rsid w:val="26812549"/>
    <w:rsid w:val="269C47EF"/>
    <w:rsid w:val="269E134D"/>
    <w:rsid w:val="26AF355A"/>
    <w:rsid w:val="26B40B71"/>
    <w:rsid w:val="26B7240F"/>
    <w:rsid w:val="26CF1B59"/>
    <w:rsid w:val="26D5259F"/>
    <w:rsid w:val="26E72A87"/>
    <w:rsid w:val="26EF3AFF"/>
    <w:rsid w:val="27042A7B"/>
    <w:rsid w:val="27090F79"/>
    <w:rsid w:val="270B466D"/>
    <w:rsid w:val="271E59B2"/>
    <w:rsid w:val="27282C89"/>
    <w:rsid w:val="272950BB"/>
    <w:rsid w:val="27412045"/>
    <w:rsid w:val="275527C6"/>
    <w:rsid w:val="27702CEA"/>
    <w:rsid w:val="27A207C3"/>
    <w:rsid w:val="27AB1F74"/>
    <w:rsid w:val="27B128A6"/>
    <w:rsid w:val="27CB64FE"/>
    <w:rsid w:val="27DB6ACA"/>
    <w:rsid w:val="27DB6E1F"/>
    <w:rsid w:val="27EB2370"/>
    <w:rsid w:val="27F877B9"/>
    <w:rsid w:val="27FBA8EA"/>
    <w:rsid w:val="28085118"/>
    <w:rsid w:val="28102C38"/>
    <w:rsid w:val="28137C2E"/>
    <w:rsid w:val="28180C8B"/>
    <w:rsid w:val="281F1359"/>
    <w:rsid w:val="282D0BDB"/>
    <w:rsid w:val="282D2989"/>
    <w:rsid w:val="283B001A"/>
    <w:rsid w:val="28590F84"/>
    <w:rsid w:val="286C31BB"/>
    <w:rsid w:val="289163B7"/>
    <w:rsid w:val="28974640"/>
    <w:rsid w:val="289965A3"/>
    <w:rsid w:val="28C87DBA"/>
    <w:rsid w:val="28D23530"/>
    <w:rsid w:val="28DA2E89"/>
    <w:rsid w:val="28F36046"/>
    <w:rsid w:val="29235B3A"/>
    <w:rsid w:val="2927562A"/>
    <w:rsid w:val="292A6EC8"/>
    <w:rsid w:val="292D0766"/>
    <w:rsid w:val="29312751"/>
    <w:rsid w:val="29445FAA"/>
    <w:rsid w:val="29483DB1"/>
    <w:rsid w:val="294E19D3"/>
    <w:rsid w:val="295712CA"/>
    <w:rsid w:val="2961184F"/>
    <w:rsid w:val="296A082C"/>
    <w:rsid w:val="296A2F05"/>
    <w:rsid w:val="298A5E14"/>
    <w:rsid w:val="299109D5"/>
    <w:rsid w:val="29C57D15"/>
    <w:rsid w:val="29D17FC7"/>
    <w:rsid w:val="29D37461"/>
    <w:rsid w:val="29DB6414"/>
    <w:rsid w:val="29EF8CED"/>
    <w:rsid w:val="29F5689D"/>
    <w:rsid w:val="29FB35D9"/>
    <w:rsid w:val="29FFE13E"/>
    <w:rsid w:val="2A0562BB"/>
    <w:rsid w:val="2A167548"/>
    <w:rsid w:val="2A275D9F"/>
    <w:rsid w:val="2A3C6EB3"/>
    <w:rsid w:val="2A4254F9"/>
    <w:rsid w:val="2A475133"/>
    <w:rsid w:val="2A573CED"/>
    <w:rsid w:val="2A5749FC"/>
    <w:rsid w:val="2A6226DE"/>
    <w:rsid w:val="2A693214"/>
    <w:rsid w:val="2A6D4DAB"/>
    <w:rsid w:val="2A7322D4"/>
    <w:rsid w:val="2A781EB5"/>
    <w:rsid w:val="2A85771B"/>
    <w:rsid w:val="2A8D4D62"/>
    <w:rsid w:val="2A9430F3"/>
    <w:rsid w:val="2A94679F"/>
    <w:rsid w:val="2A984C68"/>
    <w:rsid w:val="2AAD13D8"/>
    <w:rsid w:val="2AB92F77"/>
    <w:rsid w:val="2ABD5260"/>
    <w:rsid w:val="2ABF3775"/>
    <w:rsid w:val="2AC649AA"/>
    <w:rsid w:val="2ACD3FAF"/>
    <w:rsid w:val="2AD349DA"/>
    <w:rsid w:val="2AFF55BD"/>
    <w:rsid w:val="2B0100FD"/>
    <w:rsid w:val="2B06451A"/>
    <w:rsid w:val="2B14441F"/>
    <w:rsid w:val="2B157704"/>
    <w:rsid w:val="2B1D65E4"/>
    <w:rsid w:val="2B215317"/>
    <w:rsid w:val="2B3260A5"/>
    <w:rsid w:val="2B5102D7"/>
    <w:rsid w:val="2B524B53"/>
    <w:rsid w:val="2B882AEA"/>
    <w:rsid w:val="2B946D50"/>
    <w:rsid w:val="2BA411B4"/>
    <w:rsid w:val="2BAE521D"/>
    <w:rsid w:val="2BB16143"/>
    <w:rsid w:val="2BB477B3"/>
    <w:rsid w:val="2BBF3530"/>
    <w:rsid w:val="2BC047D3"/>
    <w:rsid w:val="2BCA00DD"/>
    <w:rsid w:val="2BE24ACD"/>
    <w:rsid w:val="2BE41BEA"/>
    <w:rsid w:val="2BF1590D"/>
    <w:rsid w:val="2BFF4795"/>
    <w:rsid w:val="2C3670BD"/>
    <w:rsid w:val="2C3B13EC"/>
    <w:rsid w:val="2C4E1120"/>
    <w:rsid w:val="2C510C88"/>
    <w:rsid w:val="2C5727D8"/>
    <w:rsid w:val="2C5F50DB"/>
    <w:rsid w:val="2C7E6B2D"/>
    <w:rsid w:val="2C7F31B6"/>
    <w:rsid w:val="2C7FBAB6"/>
    <w:rsid w:val="2C91738A"/>
    <w:rsid w:val="2CA56DA7"/>
    <w:rsid w:val="2CAB6724"/>
    <w:rsid w:val="2CD40D35"/>
    <w:rsid w:val="2CE51A84"/>
    <w:rsid w:val="2CEE531B"/>
    <w:rsid w:val="2CF47F19"/>
    <w:rsid w:val="2CFF03AC"/>
    <w:rsid w:val="2D047A30"/>
    <w:rsid w:val="2D1024F6"/>
    <w:rsid w:val="2D1C2001"/>
    <w:rsid w:val="2D1F32F4"/>
    <w:rsid w:val="2D2C76B3"/>
    <w:rsid w:val="2D2E5A1D"/>
    <w:rsid w:val="2D3F559A"/>
    <w:rsid w:val="2D455D2B"/>
    <w:rsid w:val="2D485943"/>
    <w:rsid w:val="2D5F7266"/>
    <w:rsid w:val="2D691B92"/>
    <w:rsid w:val="2D6A1F89"/>
    <w:rsid w:val="2D7467E6"/>
    <w:rsid w:val="2D764C45"/>
    <w:rsid w:val="2DA8534F"/>
    <w:rsid w:val="2DB571FF"/>
    <w:rsid w:val="2DD34109"/>
    <w:rsid w:val="2DDD475F"/>
    <w:rsid w:val="2DDE3214"/>
    <w:rsid w:val="2DE81100"/>
    <w:rsid w:val="2E004083"/>
    <w:rsid w:val="2E1A7E81"/>
    <w:rsid w:val="2E33681F"/>
    <w:rsid w:val="2E3A5DFF"/>
    <w:rsid w:val="2E436059"/>
    <w:rsid w:val="2E4B3B69"/>
    <w:rsid w:val="2E642C67"/>
    <w:rsid w:val="2E6B52F2"/>
    <w:rsid w:val="2E6B6090"/>
    <w:rsid w:val="2E76495E"/>
    <w:rsid w:val="2E9A4AF0"/>
    <w:rsid w:val="2EA27501"/>
    <w:rsid w:val="2EBB5F58"/>
    <w:rsid w:val="2EBD5533"/>
    <w:rsid w:val="2EDE49DD"/>
    <w:rsid w:val="2EF20488"/>
    <w:rsid w:val="2EFD7286"/>
    <w:rsid w:val="2F205E18"/>
    <w:rsid w:val="2F2701B6"/>
    <w:rsid w:val="2F310CDD"/>
    <w:rsid w:val="2F330090"/>
    <w:rsid w:val="2F336330"/>
    <w:rsid w:val="2F336759"/>
    <w:rsid w:val="2F3E547B"/>
    <w:rsid w:val="2F4C3A59"/>
    <w:rsid w:val="2F513511"/>
    <w:rsid w:val="2F61116A"/>
    <w:rsid w:val="2F612C35"/>
    <w:rsid w:val="2F653168"/>
    <w:rsid w:val="2F6A2435"/>
    <w:rsid w:val="2F6F2714"/>
    <w:rsid w:val="2F6F5A66"/>
    <w:rsid w:val="2F7D19D4"/>
    <w:rsid w:val="2F7E0FC5"/>
    <w:rsid w:val="2F7F5051"/>
    <w:rsid w:val="2F875C16"/>
    <w:rsid w:val="2F891D2D"/>
    <w:rsid w:val="2F903B78"/>
    <w:rsid w:val="2FA05EF0"/>
    <w:rsid w:val="2FAFFD34"/>
    <w:rsid w:val="2FB361F0"/>
    <w:rsid w:val="2FB92D54"/>
    <w:rsid w:val="2FC46472"/>
    <w:rsid w:val="2FCFE2DC"/>
    <w:rsid w:val="2FD302BA"/>
    <w:rsid w:val="2FE1DC78"/>
    <w:rsid w:val="2FED29FE"/>
    <w:rsid w:val="2FF38EF8"/>
    <w:rsid w:val="2FF6427E"/>
    <w:rsid w:val="2FF86F0B"/>
    <w:rsid w:val="2FFA3A98"/>
    <w:rsid w:val="2FFD0B55"/>
    <w:rsid w:val="2FFD0CDC"/>
    <w:rsid w:val="2FFD3D1A"/>
    <w:rsid w:val="2FFEA3FF"/>
    <w:rsid w:val="2FFF838B"/>
    <w:rsid w:val="3011493E"/>
    <w:rsid w:val="30161F54"/>
    <w:rsid w:val="30180224"/>
    <w:rsid w:val="3038319F"/>
    <w:rsid w:val="304B1421"/>
    <w:rsid w:val="30553027"/>
    <w:rsid w:val="305A13BA"/>
    <w:rsid w:val="306B04F2"/>
    <w:rsid w:val="30705B08"/>
    <w:rsid w:val="3072261D"/>
    <w:rsid w:val="30764EE5"/>
    <w:rsid w:val="30772F4F"/>
    <w:rsid w:val="307D4ABA"/>
    <w:rsid w:val="30901D07"/>
    <w:rsid w:val="30A853C0"/>
    <w:rsid w:val="30CC51AF"/>
    <w:rsid w:val="30E3452C"/>
    <w:rsid w:val="30F537B2"/>
    <w:rsid w:val="30F66FB5"/>
    <w:rsid w:val="30F85AFE"/>
    <w:rsid w:val="30FB2705"/>
    <w:rsid w:val="31012C04"/>
    <w:rsid w:val="310C75A3"/>
    <w:rsid w:val="310D6A5F"/>
    <w:rsid w:val="310F0CD5"/>
    <w:rsid w:val="311A2ECF"/>
    <w:rsid w:val="311A3CC6"/>
    <w:rsid w:val="31224929"/>
    <w:rsid w:val="31232ECD"/>
    <w:rsid w:val="312547D2"/>
    <w:rsid w:val="31283EF1"/>
    <w:rsid w:val="312D0BBA"/>
    <w:rsid w:val="3143321D"/>
    <w:rsid w:val="317E0A37"/>
    <w:rsid w:val="31853836"/>
    <w:rsid w:val="3199427B"/>
    <w:rsid w:val="31A65CB0"/>
    <w:rsid w:val="31AB4682"/>
    <w:rsid w:val="31AD0F91"/>
    <w:rsid w:val="31AF18A3"/>
    <w:rsid w:val="31BB70F6"/>
    <w:rsid w:val="31BD4E40"/>
    <w:rsid w:val="31C31C39"/>
    <w:rsid w:val="31E7649D"/>
    <w:rsid w:val="32090A42"/>
    <w:rsid w:val="321D0FF6"/>
    <w:rsid w:val="322437FA"/>
    <w:rsid w:val="3239395E"/>
    <w:rsid w:val="323B4D81"/>
    <w:rsid w:val="32423ED4"/>
    <w:rsid w:val="325B4596"/>
    <w:rsid w:val="32662434"/>
    <w:rsid w:val="326B7D35"/>
    <w:rsid w:val="327318E0"/>
    <w:rsid w:val="32851613"/>
    <w:rsid w:val="329469DE"/>
    <w:rsid w:val="32964404"/>
    <w:rsid w:val="32A55811"/>
    <w:rsid w:val="32A67293"/>
    <w:rsid w:val="32B205D0"/>
    <w:rsid w:val="32BA64A9"/>
    <w:rsid w:val="32CB3961"/>
    <w:rsid w:val="32EC51EE"/>
    <w:rsid w:val="32EE540A"/>
    <w:rsid w:val="331A1D5C"/>
    <w:rsid w:val="332C206B"/>
    <w:rsid w:val="3337290D"/>
    <w:rsid w:val="334331E6"/>
    <w:rsid w:val="33435756"/>
    <w:rsid w:val="33446DD8"/>
    <w:rsid w:val="335364DF"/>
    <w:rsid w:val="335F00B6"/>
    <w:rsid w:val="336074D2"/>
    <w:rsid w:val="336A7926"/>
    <w:rsid w:val="336F1BEF"/>
    <w:rsid w:val="337C47C4"/>
    <w:rsid w:val="33864767"/>
    <w:rsid w:val="339715FE"/>
    <w:rsid w:val="33B7C077"/>
    <w:rsid w:val="33BE34B0"/>
    <w:rsid w:val="33C063FA"/>
    <w:rsid w:val="33C845AB"/>
    <w:rsid w:val="33DF6314"/>
    <w:rsid w:val="33E03D45"/>
    <w:rsid w:val="33EE0FC0"/>
    <w:rsid w:val="33F72012"/>
    <w:rsid w:val="33F754C7"/>
    <w:rsid w:val="33FF2DC1"/>
    <w:rsid w:val="3405369F"/>
    <w:rsid w:val="3419350A"/>
    <w:rsid w:val="34295FA7"/>
    <w:rsid w:val="344572AC"/>
    <w:rsid w:val="34644A64"/>
    <w:rsid w:val="34655258"/>
    <w:rsid w:val="34747302"/>
    <w:rsid w:val="347A1F14"/>
    <w:rsid w:val="348222AE"/>
    <w:rsid w:val="34890D8D"/>
    <w:rsid w:val="34895E4C"/>
    <w:rsid w:val="349C7FBE"/>
    <w:rsid w:val="34B70380"/>
    <w:rsid w:val="34C37D49"/>
    <w:rsid w:val="34CA1631"/>
    <w:rsid w:val="34DC18B6"/>
    <w:rsid w:val="34DDC44F"/>
    <w:rsid w:val="34F00345"/>
    <w:rsid w:val="34F65B4C"/>
    <w:rsid w:val="35034DC6"/>
    <w:rsid w:val="350E272F"/>
    <w:rsid w:val="35150A2C"/>
    <w:rsid w:val="351C1BED"/>
    <w:rsid w:val="35226315"/>
    <w:rsid w:val="35231BAF"/>
    <w:rsid w:val="35386276"/>
    <w:rsid w:val="353FCAD5"/>
    <w:rsid w:val="354457B6"/>
    <w:rsid w:val="35480AC5"/>
    <w:rsid w:val="354D0B11"/>
    <w:rsid w:val="354F0E7C"/>
    <w:rsid w:val="3552077E"/>
    <w:rsid w:val="35661288"/>
    <w:rsid w:val="356D3D6B"/>
    <w:rsid w:val="357A3217"/>
    <w:rsid w:val="357E2A76"/>
    <w:rsid w:val="35847FBF"/>
    <w:rsid w:val="35970F9D"/>
    <w:rsid w:val="359C12DD"/>
    <w:rsid w:val="35A13420"/>
    <w:rsid w:val="35B9552F"/>
    <w:rsid w:val="35BAC1E8"/>
    <w:rsid w:val="35C9FFE1"/>
    <w:rsid w:val="35D6415D"/>
    <w:rsid w:val="35DC779C"/>
    <w:rsid w:val="35E277B6"/>
    <w:rsid w:val="35E34252"/>
    <w:rsid w:val="35EF728C"/>
    <w:rsid w:val="35F8FE9C"/>
    <w:rsid w:val="35FD515C"/>
    <w:rsid w:val="35FE769C"/>
    <w:rsid w:val="35FF7FAA"/>
    <w:rsid w:val="361718E7"/>
    <w:rsid w:val="361B7E26"/>
    <w:rsid w:val="363A6018"/>
    <w:rsid w:val="36462E68"/>
    <w:rsid w:val="364A57BB"/>
    <w:rsid w:val="366E687E"/>
    <w:rsid w:val="367B6FB5"/>
    <w:rsid w:val="367E3F16"/>
    <w:rsid w:val="368D5E78"/>
    <w:rsid w:val="36982E0F"/>
    <w:rsid w:val="36AF250E"/>
    <w:rsid w:val="36DD024C"/>
    <w:rsid w:val="36E3092A"/>
    <w:rsid w:val="36F56D67"/>
    <w:rsid w:val="36FE714B"/>
    <w:rsid w:val="370D1785"/>
    <w:rsid w:val="37134760"/>
    <w:rsid w:val="37180CA8"/>
    <w:rsid w:val="3723031A"/>
    <w:rsid w:val="3724546A"/>
    <w:rsid w:val="37252DC4"/>
    <w:rsid w:val="373845F0"/>
    <w:rsid w:val="373A29CC"/>
    <w:rsid w:val="373F7D46"/>
    <w:rsid w:val="37464BAC"/>
    <w:rsid w:val="37487677"/>
    <w:rsid w:val="376712E7"/>
    <w:rsid w:val="377D5BB1"/>
    <w:rsid w:val="377F9B8E"/>
    <w:rsid w:val="37A675A8"/>
    <w:rsid w:val="37AE00E9"/>
    <w:rsid w:val="37B83D1F"/>
    <w:rsid w:val="37BF34EF"/>
    <w:rsid w:val="37DB3EFE"/>
    <w:rsid w:val="37EDDD76"/>
    <w:rsid w:val="37EE59AC"/>
    <w:rsid w:val="37F720F2"/>
    <w:rsid w:val="37F7E544"/>
    <w:rsid w:val="37F9C950"/>
    <w:rsid w:val="37FB524E"/>
    <w:rsid w:val="37FD6BF3"/>
    <w:rsid w:val="37FDDBCE"/>
    <w:rsid w:val="37FF4DD1"/>
    <w:rsid w:val="37FF4FFB"/>
    <w:rsid w:val="380246A2"/>
    <w:rsid w:val="38051AB4"/>
    <w:rsid w:val="38267060"/>
    <w:rsid w:val="38284D0C"/>
    <w:rsid w:val="38317092"/>
    <w:rsid w:val="38385E72"/>
    <w:rsid w:val="384B2109"/>
    <w:rsid w:val="38625A5D"/>
    <w:rsid w:val="387E5A64"/>
    <w:rsid w:val="388760E5"/>
    <w:rsid w:val="388D2FD0"/>
    <w:rsid w:val="389E342F"/>
    <w:rsid w:val="389F4929"/>
    <w:rsid w:val="38A731BC"/>
    <w:rsid w:val="38A80092"/>
    <w:rsid w:val="38AB4B5A"/>
    <w:rsid w:val="38BD2545"/>
    <w:rsid w:val="38DE55D9"/>
    <w:rsid w:val="38E06094"/>
    <w:rsid w:val="38E6185D"/>
    <w:rsid w:val="38FF0BC1"/>
    <w:rsid w:val="39013431"/>
    <w:rsid w:val="390363FE"/>
    <w:rsid w:val="39086BBF"/>
    <w:rsid w:val="39290F4A"/>
    <w:rsid w:val="39340415"/>
    <w:rsid w:val="394915ED"/>
    <w:rsid w:val="39972358"/>
    <w:rsid w:val="39BC3442"/>
    <w:rsid w:val="39BE2D0E"/>
    <w:rsid w:val="39DA0497"/>
    <w:rsid w:val="39DBDEC0"/>
    <w:rsid w:val="39FFDC4C"/>
    <w:rsid w:val="3A3D1514"/>
    <w:rsid w:val="3A4A1178"/>
    <w:rsid w:val="3A4C6A45"/>
    <w:rsid w:val="3A511B22"/>
    <w:rsid w:val="3A5D305A"/>
    <w:rsid w:val="3A6E3D80"/>
    <w:rsid w:val="3A766411"/>
    <w:rsid w:val="3A7A4D70"/>
    <w:rsid w:val="3A7B3A28"/>
    <w:rsid w:val="3A847DCF"/>
    <w:rsid w:val="3AA8354C"/>
    <w:rsid w:val="3AC81740"/>
    <w:rsid w:val="3ACE417B"/>
    <w:rsid w:val="3AD46809"/>
    <w:rsid w:val="3AE174A3"/>
    <w:rsid w:val="3AE236F2"/>
    <w:rsid w:val="3AE425CD"/>
    <w:rsid w:val="3AF7201C"/>
    <w:rsid w:val="3AFE368C"/>
    <w:rsid w:val="3B0B6E7C"/>
    <w:rsid w:val="3B1245AD"/>
    <w:rsid w:val="3B174082"/>
    <w:rsid w:val="3B3F83CB"/>
    <w:rsid w:val="3B5830E9"/>
    <w:rsid w:val="3B774CDD"/>
    <w:rsid w:val="3B7BCA6C"/>
    <w:rsid w:val="3B7D85A8"/>
    <w:rsid w:val="3B87609D"/>
    <w:rsid w:val="3B8A08C7"/>
    <w:rsid w:val="3B9609A4"/>
    <w:rsid w:val="3B98D948"/>
    <w:rsid w:val="3B9F3746"/>
    <w:rsid w:val="3BA00407"/>
    <w:rsid w:val="3BA91405"/>
    <w:rsid w:val="3BAA7FC9"/>
    <w:rsid w:val="3BAC19BF"/>
    <w:rsid w:val="3BB09D96"/>
    <w:rsid w:val="3BB99C6D"/>
    <w:rsid w:val="3BD4700F"/>
    <w:rsid w:val="3BD70427"/>
    <w:rsid w:val="3BDFB438"/>
    <w:rsid w:val="3BE23151"/>
    <w:rsid w:val="3BEA5F41"/>
    <w:rsid w:val="3BEFC551"/>
    <w:rsid w:val="3BF02E60"/>
    <w:rsid w:val="3BFA53CB"/>
    <w:rsid w:val="3BFDB275"/>
    <w:rsid w:val="3BFE5F7C"/>
    <w:rsid w:val="3BFF13DC"/>
    <w:rsid w:val="3C0A2B26"/>
    <w:rsid w:val="3C1BB09A"/>
    <w:rsid w:val="3C1F12C3"/>
    <w:rsid w:val="3C2BD24A"/>
    <w:rsid w:val="3C301BB0"/>
    <w:rsid w:val="3C317A73"/>
    <w:rsid w:val="3C344905"/>
    <w:rsid w:val="3C3814A4"/>
    <w:rsid w:val="3C65081D"/>
    <w:rsid w:val="3C77B7C2"/>
    <w:rsid w:val="3C7F2D33"/>
    <w:rsid w:val="3C8F0A52"/>
    <w:rsid w:val="3C8F1B85"/>
    <w:rsid w:val="3CA01523"/>
    <w:rsid w:val="3CA72347"/>
    <w:rsid w:val="3CBB333D"/>
    <w:rsid w:val="3CE3DB58"/>
    <w:rsid w:val="3CE96AC6"/>
    <w:rsid w:val="3CEF6007"/>
    <w:rsid w:val="3CF7F7E9"/>
    <w:rsid w:val="3CF8256F"/>
    <w:rsid w:val="3CFFFFEE"/>
    <w:rsid w:val="3D0B3A06"/>
    <w:rsid w:val="3D145E0F"/>
    <w:rsid w:val="3D196C07"/>
    <w:rsid w:val="3D262204"/>
    <w:rsid w:val="3D2BEE1D"/>
    <w:rsid w:val="3D406F29"/>
    <w:rsid w:val="3D496AC2"/>
    <w:rsid w:val="3D4B3C34"/>
    <w:rsid w:val="3D4B707C"/>
    <w:rsid w:val="3D4B898A"/>
    <w:rsid w:val="3D536596"/>
    <w:rsid w:val="3D692FD6"/>
    <w:rsid w:val="3D6AA009"/>
    <w:rsid w:val="3D6F7F8F"/>
    <w:rsid w:val="3D7B8CA9"/>
    <w:rsid w:val="3D7F80E6"/>
    <w:rsid w:val="3D7F8154"/>
    <w:rsid w:val="3D803250"/>
    <w:rsid w:val="3D8449A1"/>
    <w:rsid w:val="3DA4543B"/>
    <w:rsid w:val="3DAD9951"/>
    <w:rsid w:val="3DB422B2"/>
    <w:rsid w:val="3DBD9760"/>
    <w:rsid w:val="3DC46E6A"/>
    <w:rsid w:val="3DC713D4"/>
    <w:rsid w:val="3DD444EF"/>
    <w:rsid w:val="3DE03D27"/>
    <w:rsid w:val="3DEB56A7"/>
    <w:rsid w:val="3DEDF51B"/>
    <w:rsid w:val="3DEE1A66"/>
    <w:rsid w:val="3DF57134"/>
    <w:rsid w:val="3DF78098"/>
    <w:rsid w:val="3DFD4754"/>
    <w:rsid w:val="3DFE84AD"/>
    <w:rsid w:val="3E1871BF"/>
    <w:rsid w:val="3E2717D1"/>
    <w:rsid w:val="3E295549"/>
    <w:rsid w:val="3E2FAB70"/>
    <w:rsid w:val="3E370B82"/>
    <w:rsid w:val="3E442382"/>
    <w:rsid w:val="3EA267BC"/>
    <w:rsid w:val="3EB70B33"/>
    <w:rsid w:val="3ED53629"/>
    <w:rsid w:val="3EDB7DB3"/>
    <w:rsid w:val="3EE7611C"/>
    <w:rsid w:val="3EFB25D6"/>
    <w:rsid w:val="3EFF9209"/>
    <w:rsid w:val="3EFFD3D8"/>
    <w:rsid w:val="3F0A7128"/>
    <w:rsid w:val="3F254B64"/>
    <w:rsid w:val="3F285D8B"/>
    <w:rsid w:val="3F28BE93"/>
    <w:rsid w:val="3F3B34B8"/>
    <w:rsid w:val="3F3D07ED"/>
    <w:rsid w:val="3F3DD1F1"/>
    <w:rsid w:val="3F3E57B9"/>
    <w:rsid w:val="3F443D18"/>
    <w:rsid w:val="3F4FA000"/>
    <w:rsid w:val="3F57E6AE"/>
    <w:rsid w:val="3F676329"/>
    <w:rsid w:val="3F6B219D"/>
    <w:rsid w:val="3F6F5032"/>
    <w:rsid w:val="3F7A369B"/>
    <w:rsid w:val="3F7B2F8B"/>
    <w:rsid w:val="3F7EAEE0"/>
    <w:rsid w:val="3F7F78BB"/>
    <w:rsid w:val="3F865609"/>
    <w:rsid w:val="3F8C36E0"/>
    <w:rsid w:val="3F8E8232"/>
    <w:rsid w:val="3F9D7F9C"/>
    <w:rsid w:val="3F9F3DC8"/>
    <w:rsid w:val="3F9F56F5"/>
    <w:rsid w:val="3FA36DC4"/>
    <w:rsid w:val="3FAE0AD6"/>
    <w:rsid w:val="3FAF5FCC"/>
    <w:rsid w:val="3FB726AA"/>
    <w:rsid w:val="3FBBB72A"/>
    <w:rsid w:val="3FBD4D96"/>
    <w:rsid w:val="3FBE34EE"/>
    <w:rsid w:val="3FBF16B1"/>
    <w:rsid w:val="3FBF9AE8"/>
    <w:rsid w:val="3FCB4DD9"/>
    <w:rsid w:val="3FCB8380"/>
    <w:rsid w:val="3FCF203E"/>
    <w:rsid w:val="3FCF3273"/>
    <w:rsid w:val="3FCF9093"/>
    <w:rsid w:val="3FD120A8"/>
    <w:rsid w:val="3FDD15FE"/>
    <w:rsid w:val="3FDD579A"/>
    <w:rsid w:val="3FDF02FD"/>
    <w:rsid w:val="3FDF5D0B"/>
    <w:rsid w:val="3FDF6D34"/>
    <w:rsid w:val="3FDF7298"/>
    <w:rsid w:val="3FEF7B66"/>
    <w:rsid w:val="3FF28E19"/>
    <w:rsid w:val="3FF40503"/>
    <w:rsid w:val="3FF9F990"/>
    <w:rsid w:val="3FFE2B5B"/>
    <w:rsid w:val="3FFE5686"/>
    <w:rsid w:val="3FFF637D"/>
    <w:rsid w:val="3FFF7109"/>
    <w:rsid w:val="3FFF921E"/>
    <w:rsid w:val="400C6ED0"/>
    <w:rsid w:val="40151045"/>
    <w:rsid w:val="402661E4"/>
    <w:rsid w:val="404C4A95"/>
    <w:rsid w:val="40580BC7"/>
    <w:rsid w:val="40724455"/>
    <w:rsid w:val="40A40D73"/>
    <w:rsid w:val="40C003E6"/>
    <w:rsid w:val="40D92C20"/>
    <w:rsid w:val="40E37C31"/>
    <w:rsid w:val="40E65973"/>
    <w:rsid w:val="40F93388"/>
    <w:rsid w:val="40FB2EE6"/>
    <w:rsid w:val="41297B0B"/>
    <w:rsid w:val="41303FC5"/>
    <w:rsid w:val="41390199"/>
    <w:rsid w:val="413B4D26"/>
    <w:rsid w:val="414B007D"/>
    <w:rsid w:val="41602328"/>
    <w:rsid w:val="41732330"/>
    <w:rsid w:val="417F0B3D"/>
    <w:rsid w:val="4182744A"/>
    <w:rsid w:val="419B49AF"/>
    <w:rsid w:val="41A17FF0"/>
    <w:rsid w:val="41A76B70"/>
    <w:rsid w:val="41B2568A"/>
    <w:rsid w:val="41BE0921"/>
    <w:rsid w:val="41C326D5"/>
    <w:rsid w:val="41C754A0"/>
    <w:rsid w:val="41CA1741"/>
    <w:rsid w:val="41E90D60"/>
    <w:rsid w:val="41EA5EAB"/>
    <w:rsid w:val="41F07412"/>
    <w:rsid w:val="41F44E89"/>
    <w:rsid w:val="42185F57"/>
    <w:rsid w:val="42295EB2"/>
    <w:rsid w:val="42420314"/>
    <w:rsid w:val="424E1A22"/>
    <w:rsid w:val="425237E8"/>
    <w:rsid w:val="42664401"/>
    <w:rsid w:val="42686660"/>
    <w:rsid w:val="429328D7"/>
    <w:rsid w:val="42A33F0B"/>
    <w:rsid w:val="42C2450E"/>
    <w:rsid w:val="42C817D4"/>
    <w:rsid w:val="42CD6DEA"/>
    <w:rsid w:val="42D12D91"/>
    <w:rsid w:val="42E70446"/>
    <w:rsid w:val="42F2197A"/>
    <w:rsid w:val="42F6065F"/>
    <w:rsid w:val="430576D4"/>
    <w:rsid w:val="4322104C"/>
    <w:rsid w:val="432471FC"/>
    <w:rsid w:val="433153D0"/>
    <w:rsid w:val="433C3993"/>
    <w:rsid w:val="43446334"/>
    <w:rsid w:val="4359242C"/>
    <w:rsid w:val="435968D0"/>
    <w:rsid w:val="436863A0"/>
    <w:rsid w:val="43736048"/>
    <w:rsid w:val="437B6009"/>
    <w:rsid w:val="43825A21"/>
    <w:rsid w:val="438A4C93"/>
    <w:rsid w:val="43956A53"/>
    <w:rsid w:val="43977E2D"/>
    <w:rsid w:val="43AD15DB"/>
    <w:rsid w:val="43ED6A68"/>
    <w:rsid w:val="43F62371"/>
    <w:rsid w:val="440D7B75"/>
    <w:rsid w:val="44166243"/>
    <w:rsid w:val="441C79DD"/>
    <w:rsid w:val="44406BF4"/>
    <w:rsid w:val="44407C5D"/>
    <w:rsid w:val="444906F3"/>
    <w:rsid w:val="444B077D"/>
    <w:rsid w:val="445F7F16"/>
    <w:rsid w:val="44616288"/>
    <w:rsid w:val="447119F7"/>
    <w:rsid w:val="447561B8"/>
    <w:rsid w:val="4485389C"/>
    <w:rsid w:val="44890AEF"/>
    <w:rsid w:val="448C7DD1"/>
    <w:rsid w:val="44A84E71"/>
    <w:rsid w:val="44B54333"/>
    <w:rsid w:val="44C95EA8"/>
    <w:rsid w:val="44E34A44"/>
    <w:rsid w:val="44F87590"/>
    <w:rsid w:val="450262D6"/>
    <w:rsid w:val="450667D5"/>
    <w:rsid w:val="452F3649"/>
    <w:rsid w:val="453E4987"/>
    <w:rsid w:val="453E7B2C"/>
    <w:rsid w:val="454A2974"/>
    <w:rsid w:val="4550360E"/>
    <w:rsid w:val="45590A92"/>
    <w:rsid w:val="45624699"/>
    <w:rsid w:val="45627238"/>
    <w:rsid w:val="45636405"/>
    <w:rsid w:val="456C46BD"/>
    <w:rsid w:val="458738EE"/>
    <w:rsid w:val="459274DB"/>
    <w:rsid w:val="45B5664E"/>
    <w:rsid w:val="45C641DB"/>
    <w:rsid w:val="45D37CDF"/>
    <w:rsid w:val="45EDD0C2"/>
    <w:rsid w:val="46164ECF"/>
    <w:rsid w:val="46167353"/>
    <w:rsid w:val="46195EA3"/>
    <w:rsid w:val="461A649A"/>
    <w:rsid w:val="4637312C"/>
    <w:rsid w:val="4662410F"/>
    <w:rsid w:val="46755425"/>
    <w:rsid w:val="46811A38"/>
    <w:rsid w:val="46DB13AA"/>
    <w:rsid w:val="46E0321C"/>
    <w:rsid w:val="46E157FA"/>
    <w:rsid w:val="46EA2826"/>
    <w:rsid w:val="46F32B98"/>
    <w:rsid w:val="46F76BD8"/>
    <w:rsid w:val="46FD0F0C"/>
    <w:rsid w:val="471274C2"/>
    <w:rsid w:val="472641A4"/>
    <w:rsid w:val="4733189B"/>
    <w:rsid w:val="474433F3"/>
    <w:rsid w:val="477DCE1E"/>
    <w:rsid w:val="47BDFDC6"/>
    <w:rsid w:val="47C349C6"/>
    <w:rsid w:val="47C96F85"/>
    <w:rsid w:val="47CA7D9C"/>
    <w:rsid w:val="47CB333B"/>
    <w:rsid w:val="47E36788"/>
    <w:rsid w:val="47EB4ECB"/>
    <w:rsid w:val="47EF56F4"/>
    <w:rsid w:val="47F021D1"/>
    <w:rsid w:val="47F256A7"/>
    <w:rsid w:val="47F71A1A"/>
    <w:rsid w:val="47FC5AD6"/>
    <w:rsid w:val="480F1C53"/>
    <w:rsid w:val="48180B08"/>
    <w:rsid w:val="48293E1E"/>
    <w:rsid w:val="48343468"/>
    <w:rsid w:val="48457423"/>
    <w:rsid w:val="48593BBF"/>
    <w:rsid w:val="485E3948"/>
    <w:rsid w:val="486317FC"/>
    <w:rsid w:val="486813A8"/>
    <w:rsid w:val="486FD2F0"/>
    <w:rsid w:val="48897310"/>
    <w:rsid w:val="488A3D16"/>
    <w:rsid w:val="48973C87"/>
    <w:rsid w:val="48A40AE5"/>
    <w:rsid w:val="48AD2FC4"/>
    <w:rsid w:val="48B30830"/>
    <w:rsid w:val="48C26CC5"/>
    <w:rsid w:val="48DF0850"/>
    <w:rsid w:val="48E94252"/>
    <w:rsid w:val="48ED3397"/>
    <w:rsid w:val="48F20EDA"/>
    <w:rsid w:val="48F84495"/>
    <w:rsid w:val="49091A49"/>
    <w:rsid w:val="491A08B0"/>
    <w:rsid w:val="493073DD"/>
    <w:rsid w:val="493A4AAE"/>
    <w:rsid w:val="49553696"/>
    <w:rsid w:val="495633FD"/>
    <w:rsid w:val="496B0C52"/>
    <w:rsid w:val="496E4757"/>
    <w:rsid w:val="498F0B0F"/>
    <w:rsid w:val="49C16F7D"/>
    <w:rsid w:val="49C46C7E"/>
    <w:rsid w:val="49D95FDE"/>
    <w:rsid w:val="49FF5946"/>
    <w:rsid w:val="49FFE38D"/>
    <w:rsid w:val="4A0A26D2"/>
    <w:rsid w:val="4A0E7992"/>
    <w:rsid w:val="4A161077"/>
    <w:rsid w:val="4A167771"/>
    <w:rsid w:val="4A260D08"/>
    <w:rsid w:val="4A313A26"/>
    <w:rsid w:val="4A5C4B6A"/>
    <w:rsid w:val="4A960D9F"/>
    <w:rsid w:val="4A9D109F"/>
    <w:rsid w:val="4AA26FEA"/>
    <w:rsid w:val="4AAE5EE0"/>
    <w:rsid w:val="4AB13FA2"/>
    <w:rsid w:val="4AC2626D"/>
    <w:rsid w:val="4ADA6658"/>
    <w:rsid w:val="4AE40A60"/>
    <w:rsid w:val="4AFAE45B"/>
    <w:rsid w:val="4AFEDCDB"/>
    <w:rsid w:val="4AFF7D5D"/>
    <w:rsid w:val="4B0814FE"/>
    <w:rsid w:val="4B0C42BC"/>
    <w:rsid w:val="4B0E61F2"/>
    <w:rsid w:val="4B272E10"/>
    <w:rsid w:val="4B2C0426"/>
    <w:rsid w:val="4B324A81"/>
    <w:rsid w:val="4B3B64EC"/>
    <w:rsid w:val="4B450EB9"/>
    <w:rsid w:val="4B695B4E"/>
    <w:rsid w:val="4B6F21DA"/>
    <w:rsid w:val="4B787CF1"/>
    <w:rsid w:val="4B7C7D7E"/>
    <w:rsid w:val="4B7FB683"/>
    <w:rsid w:val="4B9B0D47"/>
    <w:rsid w:val="4BBA0128"/>
    <w:rsid w:val="4BBE2662"/>
    <w:rsid w:val="4BC87DB1"/>
    <w:rsid w:val="4BDE5BC4"/>
    <w:rsid w:val="4BF24B1A"/>
    <w:rsid w:val="4BFF2664"/>
    <w:rsid w:val="4C115F9A"/>
    <w:rsid w:val="4C1C36D7"/>
    <w:rsid w:val="4C4023DB"/>
    <w:rsid w:val="4C51283A"/>
    <w:rsid w:val="4C561334"/>
    <w:rsid w:val="4C562321"/>
    <w:rsid w:val="4C5C3066"/>
    <w:rsid w:val="4C806C7C"/>
    <w:rsid w:val="4C810C62"/>
    <w:rsid w:val="4C820C46"/>
    <w:rsid w:val="4C83051A"/>
    <w:rsid w:val="4C891FD4"/>
    <w:rsid w:val="4C983FC5"/>
    <w:rsid w:val="4C9856FF"/>
    <w:rsid w:val="4CA76B54"/>
    <w:rsid w:val="4CAF695B"/>
    <w:rsid w:val="4CBD4769"/>
    <w:rsid w:val="4CBE0A5A"/>
    <w:rsid w:val="4CD47ACD"/>
    <w:rsid w:val="4CD59E68"/>
    <w:rsid w:val="4CD67360"/>
    <w:rsid w:val="4CE92A73"/>
    <w:rsid w:val="4CF22964"/>
    <w:rsid w:val="4CF3744D"/>
    <w:rsid w:val="4CF8081A"/>
    <w:rsid w:val="4D00669A"/>
    <w:rsid w:val="4D034F35"/>
    <w:rsid w:val="4D1216FF"/>
    <w:rsid w:val="4D2F4CF1"/>
    <w:rsid w:val="4D3A1520"/>
    <w:rsid w:val="4D3E387D"/>
    <w:rsid w:val="4D447A6A"/>
    <w:rsid w:val="4D485A99"/>
    <w:rsid w:val="4D555F59"/>
    <w:rsid w:val="4D594628"/>
    <w:rsid w:val="4D7439F3"/>
    <w:rsid w:val="4D88670C"/>
    <w:rsid w:val="4D8E53C8"/>
    <w:rsid w:val="4DAA460C"/>
    <w:rsid w:val="4DAC584E"/>
    <w:rsid w:val="4DAD0E02"/>
    <w:rsid w:val="4DB92B63"/>
    <w:rsid w:val="4DC376C2"/>
    <w:rsid w:val="4DD64529"/>
    <w:rsid w:val="4DDC6134"/>
    <w:rsid w:val="4DDF391B"/>
    <w:rsid w:val="4DE017A3"/>
    <w:rsid w:val="4DE02688"/>
    <w:rsid w:val="4DE46C7A"/>
    <w:rsid w:val="4DE6234A"/>
    <w:rsid w:val="4DEA98EA"/>
    <w:rsid w:val="4DEB68FD"/>
    <w:rsid w:val="4DF81258"/>
    <w:rsid w:val="4DFE42FC"/>
    <w:rsid w:val="4DFFD546"/>
    <w:rsid w:val="4E315F0D"/>
    <w:rsid w:val="4E344F72"/>
    <w:rsid w:val="4E531BF6"/>
    <w:rsid w:val="4E610774"/>
    <w:rsid w:val="4E7D4DD8"/>
    <w:rsid w:val="4E7EF55B"/>
    <w:rsid w:val="4E920EE8"/>
    <w:rsid w:val="4EA60CB6"/>
    <w:rsid w:val="4EB6029F"/>
    <w:rsid w:val="4EC119BA"/>
    <w:rsid w:val="4EC6446B"/>
    <w:rsid w:val="4EF760F7"/>
    <w:rsid w:val="4F106DA0"/>
    <w:rsid w:val="4F195165"/>
    <w:rsid w:val="4F202207"/>
    <w:rsid w:val="4F317C2C"/>
    <w:rsid w:val="4F3FB6DF"/>
    <w:rsid w:val="4F565FF7"/>
    <w:rsid w:val="4F5B8567"/>
    <w:rsid w:val="4F7D3B1A"/>
    <w:rsid w:val="4F7FD12D"/>
    <w:rsid w:val="4F81165E"/>
    <w:rsid w:val="4F83044B"/>
    <w:rsid w:val="4F8E3AB7"/>
    <w:rsid w:val="4F8FB72D"/>
    <w:rsid w:val="4F910024"/>
    <w:rsid w:val="4F9FFE86"/>
    <w:rsid w:val="4FA25BD4"/>
    <w:rsid w:val="4FA32CE3"/>
    <w:rsid w:val="4FA50603"/>
    <w:rsid w:val="4FBA65B8"/>
    <w:rsid w:val="4FBD3D43"/>
    <w:rsid w:val="4FD35314"/>
    <w:rsid w:val="4FDFF516"/>
    <w:rsid w:val="4FE0121F"/>
    <w:rsid w:val="4FE02961"/>
    <w:rsid w:val="4FEB2ED5"/>
    <w:rsid w:val="4FF5172F"/>
    <w:rsid w:val="4FFB41A7"/>
    <w:rsid w:val="4FFC0D0F"/>
    <w:rsid w:val="4FFEF60B"/>
    <w:rsid w:val="503316BF"/>
    <w:rsid w:val="50351342"/>
    <w:rsid w:val="504C1C59"/>
    <w:rsid w:val="5052630D"/>
    <w:rsid w:val="50663D23"/>
    <w:rsid w:val="50680152"/>
    <w:rsid w:val="50724B2D"/>
    <w:rsid w:val="508C52D1"/>
    <w:rsid w:val="5092650C"/>
    <w:rsid w:val="50963E85"/>
    <w:rsid w:val="50AF7B2F"/>
    <w:rsid w:val="50D07739"/>
    <w:rsid w:val="50D754F2"/>
    <w:rsid w:val="50E3458D"/>
    <w:rsid w:val="513C0E2B"/>
    <w:rsid w:val="513F5283"/>
    <w:rsid w:val="51501312"/>
    <w:rsid w:val="51516E38"/>
    <w:rsid w:val="515C406F"/>
    <w:rsid w:val="516528E4"/>
    <w:rsid w:val="51710D24"/>
    <w:rsid w:val="5176383A"/>
    <w:rsid w:val="5181369F"/>
    <w:rsid w:val="51925198"/>
    <w:rsid w:val="51940032"/>
    <w:rsid w:val="51976E11"/>
    <w:rsid w:val="51B51175"/>
    <w:rsid w:val="51CA34C2"/>
    <w:rsid w:val="51E06B66"/>
    <w:rsid w:val="51E56D7F"/>
    <w:rsid w:val="51E60876"/>
    <w:rsid w:val="51F333B6"/>
    <w:rsid w:val="520B5239"/>
    <w:rsid w:val="52106D32"/>
    <w:rsid w:val="5216678E"/>
    <w:rsid w:val="52304CA0"/>
    <w:rsid w:val="52422F16"/>
    <w:rsid w:val="5246001F"/>
    <w:rsid w:val="525063D4"/>
    <w:rsid w:val="52767759"/>
    <w:rsid w:val="528E1C2F"/>
    <w:rsid w:val="52A402D7"/>
    <w:rsid w:val="52BB306D"/>
    <w:rsid w:val="52C13B4A"/>
    <w:rsid w:val="52C553E8"/>
    <w:rsid w:val="52E07271"/>
    <w:rsid w:val="52EF3659"/>
    <w:rsid w:val="52F5763C"/>
    <w:rsid w:val="530028C4"/>
    <w:rsid w:val="5302663C"/>
    <w:rsid w:val="530C12BE"/>
    <w:rsid w:val="530F2B07"/>
    <w:rsid w:val="53332C9A"/>
    <w:rsid w:val="533A3590"/>
    <w:rsid w:val="534263BF"/>
    <w:rsid w:val="535A6678"/>
    <w:rsid w:val="536A2433"/>
    <w:rsid w:val="536FEB0F"/>
    <w:rsid w:val="5371798B"/>
    <w:rsid w:val="537D22D5"/>
    <w:rsid w:val="53801D43"/>
    <w:rsid w:val="53817141"/>
    <w:rsid w:val="538232D9"/>
    <w:rsid w:val="53B465FE"/>
    <w:rsid w:val="53B80837"/>
    <w:rsid w:val="53BB25C9"/>
    <w:rsid w:val="53BF2D49"/>
    <w:rsid w:val="53D63625"/>
    <w:rsid w:val="53D87615"/>
    <w:rsid w:val="53DE6D19"/>
    <w:rsid w:val="53EF0A0E"/>
    <w:rsid w:val="540F386B"/>
    <w:rsid w:val="541C56F5"/>
    <w:rsid w:val="543C1E9B"/>
    <w:rsid w:val="54534C76"/>
    <w:rsid w:val="545A7D64"/>
    <w:rsid w:val="54761F9A"/>
    <w:rsid w:val="547D408D"/>
    <w:rsid w:val="548E5CAE"/>
    <w:rsid w:val="54924DBD"/>
    <w:rsid w:val="54A77C29"/>
    <w:rsid w:val="54B037E1"/>
    <w:rsid w:val="54B3431D"/>
    <w:rsid w:val="54D3B19A"/>
    <w:rsid w:val="54DD70B9"/>
    <w:rsid w:val="54F9A219"/>
    <w:rsid w:val="550C44B6"/>
    <w:rsid w:val="55102B67"/>
    <w:rsid w:val="55124922"/>
    <w:rsid w:val="55240B56"/>
    <w:rsid w:val="55340047"/>
    <w:rsid w:val="55362D4A"/>
    <w:rsid w:val="55663A86"/>
    <w:rsid w:val="558A2919"/>
    <w:rsid w:val="558D7767"/>
    <w:rsid w:val="559368AB"/>
    <w:rsid w:val="559D2CA7"/>
    <w:rsid w:val="55B47358"/>
    <w:rsid w:val="55BB6F76"/>
    <w:rsid w:val="55BF71EE"/>
    <w:rsid w:val="55CA6EEB"/>
    <w:rsid w:val="55CE3D27"/>
    <w:rsid w:val="55E468DC"/>
    <w:rsid w:val="55E62245"/>
    <w:rsid w:val="55E93AE3"/>
    <w:rsid w:val="55EB6EB2"/>
    <w:rsid w:val="55EFC158"/>
    <w:rsid w:val="55FB148C"/>
    <w:rsid w:val="56063441"/>
    <w:rsid w:val="56095F34"/>
    <w:rsid w:val="56096EB0"/>
    <w:rsid w:val="561658F7"/>
    <w:rsid w:val="56460B17"/>
    <w:rsid w:val="566841EB"/>
    <w:rsid w:val="566A735D"/>
    <w:rsid w:val="567D2B74"/>
    <w:rsid w:val="56882CAE"/>
    <w:rsid w:val="569532CA"/>
    <w:rsid w:val="569A0274"/>
    <w:rsid w:val="569D09CF"/>
    <w:rsid w:val="56AA6340"/>
    <w:rsid w:val="56B260B3"/>
    <w:rsid w:val="56B41D2C"/>
    <w:rsid w:val="56B624FB"/>
    <w:rsid w:val="56BE6CC3"/>
    <w:rsid w:val="56CF71FD"/>
    <w:rsid w:val="56D26326"/>
    <w:rsid w:val="56DE4862"/>
    <w:rsid w:val="56E53F9F"/>
    <w:rsid w:val="56E6295B"/>
    <w:rsid w:val="56F169FF"/>
    <w:rsid w:val="56F5067C"/>
    <w:rsid w:val="56F57BB8"/>
    <w:rsid w:val="56F783CA"/>
    <w:rsid w:val="56FD1D07"/>
    <w:rsid w:val="57007337"/>
    <w:rsid w:val="570A0FF8"/>
    <w:rsid w:val="57392849"/>
    <w:rsid w:val="573E1E21"/>
    <w:rsid w:val="574216FD"/>
    <w:rsid w:val="574EB0F7"/>
    <w:rsid w:val="575907F5"/>
    <w:rsid w:val="5763735F"/>
    <w:rsid w:val="576C0B8A"/>
    <w:rsid w:val="57751472"/>
    <w:rsid w:val="577DC9F1"/>
    <w:rsid w:val="577FE97D"/>
    <w:rsid w:val="57875362"/>
    <w:rsid w:val="57905305"/>
    <w:rsid w:val="57BD1E91"/>
    <w:rsid w:val="57BD4C4E"/>
    <w:rsid w:val="57BD57D9"/>
    <w:rsid w:val="57C25CFB"/>
    <w:rsid w:val="57DF3E29"/>
    <w:rsid w:val="57DFF758"/>
    <w:rsid w:val="57E3277E"/>
    <w:rsid w:val="57E684E4"/>
    <w:rsid w:val="57EE8AB5"/>
    <w:rsid w:val="57EF43AB"/>
    <w:rsid w:val="57EFCE50"/>
    <w:rsid w:val="57F329F7"/>
    <w:rsid w:val="57F7CD10"/>
    <w:rsid w:val="57FD360C"/>
    <w:rsid w:val="57FD6174"/>
    <w:rsid w:val="57FD62CE"/>
    <w:rsid w:val="57FE5144"/>
    <w:rsid w:val="57FE96FD"/>
    <w:rsid w:val="58142F85"/>
    <w:rsid w:val="581666E6"/>
    <w:rsid w:val="583E0829"/>
    <w:rsid w:val="58A91308"/>
    <w:rsid w:val="58AE256F"/>
    <w:rsid w:val="58B15932"/>
    <w:rsid w:val="58C41F5E"/>
    <w:rsid w:val="58C65516"/>
    <w:rsid w:val="58DC6BC9"/>
    <w:rsid w:val="58E14F46"/>
    <w:rsid w:val="58E7052E"/>
    <w:rsid w:val="58F84CED"/>
    <w:rsid w:val="58FF1461"/>
    <w:rsid w:val="58FF717A"/>
    <w:rsid w:val="58FF7931"/>
    <w:rsid w:val="59053EBF"/>
    <w:rsid w:val="5917412E"/>
    <w:rsid w:val="5918057F"/>
    <w:rsid w:val="59187C48"/>
    <w:rsid w:val="59266DFD"/>
    <w:rsid w:val="592E41C7"/>
    <w:rsid w:val="59316405"/>
    <w:rsid w:val="593E4F37"/>
    <w:rsid w:val="593E7E74"/>
    <w:rsid w:val="594E2DC4"/>
    <w:rsid w:val="59590F80"/>
    <w:rsid w:val="595963E1"/>
    <w:rsid w:val="595D63E6"/>
    <w:rsid w:val="596335AA"/>
    <w:rsid w:val="596B67A0"/>
    <w:rsid w:val="596F5479"/>
    <w:rsid w:val="59716BE4"/>
    <w:rsid w:val="59797FF4"/>
    <w:rsid w:val="599C037C"/>
    <w:rsid w:val="59AC5F35"/>
    <w:rsid w:val="59AE3A31"/>
    <w:rsid w:val="59B67D64"/>
    <w:rsid w:val="59C503C4"/>
    <w:rsid w:val="59D7060E"/>
    <w:rsid w:val="59EF766D"/>
    <w:rsid w:val="59EF8669"/>
    <w:rsid w:val="5A1153B7"/>
    <w:rsid w:val="5A1A7F94"/>
    <w:rsid w:val="5A3C69BD"/>
    <w:rsid w:val="5A3F5302"/>
    <w:rsid w:val="5A4810DC"/>
    <w:rsid w:val="5A5832FD"/>
    <w:rsid w:val="5A6E0912"/>
    <w:rsid w:val="5AA665BA"/>
    <w:rsid w:val="5AB7603F"/>
    <w:rsid w:val="5AD61DA6"/>
    <w:rsid w:val="5ADF0EF0"/>
    <w:rsid w:val="5AF336E4"/>
    <w:rsid w:val="5AFE00AD"/>
    <w:rsid w:val="5B01542B"/>
    <w:rsid w:val="5B1D1B6B"/>
    <w:rsid w:val="5B353327"/>
    <w:rsid w:val="5B3670B9"/>
    <w:rsid w:val="5B394BC5"/>
    <w:rsid w:val="5B3B7992"/>
    <w:rsid w:val="5B487E91"/>
    <w:rsid w:val="5B4B1D4C"/>
    <w:rsid w:val="5B67B59F"/>
    <w:rsid w:val="5B6D00D4"/>
    <w:rsid w:val="5B730EC6"/>
    <w:rsid w:val="5B7594A9"/>
    <w:rsid w:val="5B77E9D9"/>
    <w:rsid w:val="5B7C0F56"/>
    <w:rsid w:val="5B7F35E8"/>
    <w:rsid w:val="5B8206DA"/>
    <w:rsid w:val="5B863B83"/>
    <w:rsid w:val="5B9920E1"/>
    <w:rsid w:val="5B9B13DC"/>
    <w:rsid w:val="5B9E2B54"/>
    <w:rsid w:val="5BA1276A"/>
    <w:rsid w:val="5BA8322B"/>
    <w:rsid w:val="5BAB6ABC"/>
    <w:rsid w:val="5BBBC89A"/>
    <w:rsid w:val="5BBC5E7C"/>
    <w:rsid w:val="5BBE156E"/>
    <w:rsid w:val="5BBF3C9A"/>
    <w:rsid w:val="5BBF3F9B"/>
    <w:rsid w:val="5BCDE755"/>
    <w:rsid w:val="5BD112A2"/>
    <w:rsid w:val="5BD4669C"/>
    <w:rsid w:val="5BDEB957"/>
    <w:rsid w:val="5BDF2DD1"/>
    <w:rsid w:val="5BDF7909"/>
    <w:rsid w:val="5BDFFBFC"/>
    <w:rsid w:val="5BE5662B"/>
    <w:rsid w:val="5BE67C8A"/>
    <w:rsid w:val="5BEF2C62"/>
    <w:rsid w:val="5BFB74CF"/>
    <w:rsid w:val="5BFB78C2"/>
    <w:rsid w:val="5BFBA2C5"/>
    <w:rsid w:val="5BFDB1FA"/>
    <w:rsid w:val="5C062E36"/>
    <w:rsid w:val="5C0827EA"/>
    <w:rsid w:val="5C247A27"/>
    <w:rsid w:val="5C2515ED"/>
    <w:rsid w:val="5C735EB5"/>
    <w:rsid w:val="5C77B693"/>
    <w:rsid w:val="5C77C176"/>
    <w:rsid w:val="5C7848DF"/>
    <w:rsid w:val="5C854657"/>
    <w:rsid w:val="5C9A4EB4"/>
    <w:rsid w:val="5CA841E0"/>
    <w:rsid w:val="5CAF2739"/>
    <w:rsid w:val="5CB436F7"/>
    <w:rsid w:val="5CBA5AFD"/>
    <w:rsid w:val="5CDD543C"/>
    <w:rsid w:val="5CDF23FE"/>
    <w:rsid w:val="5CF6674B"/>
    <w:rsid w:val="5CF9550F"/>
    <w:rsid w:val="5CFFD3AD"/>
    <w:rsid w:val="5D031237"/>
    <w:rsid w:val="5D093BD3"/>
    <w:rsid w:val="5D381D80"/>
    <w:rsid w:val="5D3F0853"/>
    <w:rsid w:val="5D543B8F"/>
    <w:rsid w:val="5D5E0913"/>
    <w:rsid w:val="5D6AD1F9"/>
    <w:rsid w:val="5D6D4FFA"/>
    <w:rsid w:val="5D72616D"/>
    <w:rsid w:val="5D7E46CC"/>
    <w:rsid w:val="5D874D67"/>
    <w:rsid w:val="5DBA0C73"/>
    <w:rsid w:val="5DBFDBA2"/>
    <w:rsid w:val="5DD02A12"/>
    <w:rsid w:val="5DDC521D"/>
    <w:rsid w:val="5DE606C2"/>
    <w:rsid w:val="5DE7E609"/>
    <w:rsid w:val="5DEB1133"/>
    <w:rsid w:val="5DED083A"/>
    <w:rsid w:val="5DED7EE9"/>
    <w:rsid w:val="5DED94F7"/>
    <w:rsid w:val="5DF23751"/>
    <w:rsid w:val="5DF42C7F"/>
    <w:rsid w:val="5DFC6F87"/>
    <w:rsid w:val="5DFE343D"/>
    <w:rsid w:val="5DFF3211"/>
    <w:rsid w:val="5DFF4F01"/>
    <w:rsid w:val="5E043FD3"/>
    <w:rsid w:val="5E373159"/>
    <w:rsid w:val="5E456F75"/>
    <w:rsid w:val="5E55774C"/>
    <w:rsid w:val="5E56A2F4"/>
    <w:rsid w:val="5E5A6FBE"/>
    <w:rsid w:val="5E5B67CE"/>
    <w:rsid w:val="5E68756F"/>
    <w:rsid w:val="5E6E3037"/>
    <w:rsid w:val="5E7C3368"/>
    <w:rsid w:val="5E9DC243"/>
    <w:rsid w:val="5EAEB080"/>
    <w:rsid w:val="5EB00087"/>
    <w:rsid w:val="5EB51388"/>
    <w:rsid w:val="5EB7823B"/>
    <w:rsid w:val="5EBFDB1A"/>
    <w:rsid w:val="5EC23124"/>
    <w:rsid w:val="5EC90069"/>
    <w:rsid w:val="5EDA221B"/>
    <w:rsid w:val="5EDB6CA6"/>
    <w:rsid w:val="5EDF5B9B"/>
    <w:rsid w:val="5EE3341E"/>
    <w:rsid w:val="5EE5730B"/>
    <w:rsid w:val="5EE75CF9"/>
    <w:rsid w:val="5EE7FD55"/>
    <w:rsid w:val="5EE94B54"/>
    <w:rsid w:val="5EED402A"/>
    <w:rsid w:val="5EEE5138"/>
    <w:rsid w:val="5EEFC605"/>
    <w:rsid w:val="5EF5D5A7"/>
    <w:rsid w:val="5EF7549C"/>
    <w:rsid w:val="5EF82676"/>
    <w:rsid w:val="5EFBE286"/>
    <w:rsid w:val="5EFE6760"/>
    <w:rsid w:val="5EFEBDE8"/>
    <w:rsid w:val="5F071262"/>
    <w:rsid w:val="5F0D2788"/>
    <w:rsid w:val="5F1B2B54"/>
    <w:rsid w:val="5F29A296"/>
    <w:rsid w:val="5F334460"/>
    <w:rsid w:val="5F36A53B"/>
    <w:rsid w:val="5F3B80D0"/>
    <w:rsid w:val="5F3D2FCB"/>
    <w:rsid w:val="5F3F24D9"/>
    <w:rsid w:val="5F492AF7"/>
    <w:rsid w:val="5F5D2C03"/>
    <w:rsid w:val="5F5F817E"/>
    <w:rsid w:val="5F6A078D"/>
    <w:rsid w:val="5F6F3501"/>
    <w:rsid w:val="5F6F3DE3"/>
    <w:rsid w:val="5F6FA60B"/>
    <w:rsid w:val="5F742EAE"/>
    <w:rsid w:val="5F75703D"/>
    <w:rsid w:val="5F762667"/>
    <w:rsid w:val="5F76C8DD"/>
    <w:rsid w:val="5F76F5DD"/>
    <w:rsid w:val="5F77B6AE"/>
    <w:rsid w:val="5F7B6446"/>
    <w:rsid w:val="5F7E8410"/>
    <w:rsid w:val="5F7EFBD0"/>
    <w:rsid w:val="5F824661"/>
    <w:rsid w:val="5F8F58FD"/>
    <w:rsid w:val="5F9CA966"/>
    <w:rsid w:val="5FB582FE"/>
    <w:rsid w:val="5FC93F22"/>
    <w:rsid w:val="5FCD77FA"/>
    <w:rsid w:val="5FDADBF1"/>
    <w:rsid w:val="5FDFE637"/>
    <w:rsid w:val="5FE0438A"/>
    <w:rsid w:val="5FE68CD3"/>
    <w:rsid w:val="5FED2443"/>
    <w:rsid w:val="5FEF5FE4"/>
    <w:rsid w:val="5FEFF63C"/>
    <w:rsid w:val="5FF52054"/>
    <w:rsid w:val="5FFB9C34"/>
    <w:rsid w:val="5FFFE3FC"/>
    <w:rsid w:val="600E201D"/>
    <w:rsid w:val="60127C0F"/>
    <w:rsid w:val="601812FE"/>
    <w:rsid w:val="6037210C"/>
    <w:rsid w:val="60432042"/>
    <w:rsid w:val="60446A85"/>
    <w:rsid w:val="604A2B7D"/>
    <w:rsid w:val="604B360A"/>
    <w:rsid w:val="604B7450"/>
    <w:rsid w:val="605E6E7C"/>
    <w:rsid w:val="6062696C"/>
    <w:rsid w:val="606A2A04"/>
    <w:rsid w:val="606B0C37"/>
    <w:rsid w:val="606C1FF9"/>
    <w:rsid w:val="60726177"/>
    <w:rsid w:val="607557E9"/>
    <w:rsid w:val="60793CB6"/>
    <w:rsid w:val="60810A9F"/>
    <w:rsid w:val="60851358"/>
    <w:rsid w:val="608A5B21"/>
    <w:rsid w:val="60932FCA"/>
    <w:rsid w:val="60B115FD"/>
    <w:rsid w:val="60C34F31"/>
    <w:rsid w:val="60C94376"/>
    <w:rsid w:val="60CF38D6"/>
    <w:rsid w:val="60E031AA"/>
    <w:rsid w:val="610B56F0"/>
    <w:rsid w:val="61134276"/>
    <w:rsid w:val="611440D5"/>
    <w:rsid w:val="61180C57"/>
    <w:rsid w:val="61283090"/>
    <w:rsid w:val="612B107A"/>
    <w:rsid w:val="612C6F7A"/>
    <w:rsid w:val="612E684E"/>
    <w:rsid w:val="613F6B74"/>
    <w:rsid w:val="615A31FB"/>
    <w:rsid w:val="617701F5"/>
    <w:rsid w:val="61862D40"/>
    <w:rsid w:val="61A71DDD"/>
    <w:rsid w:val="61AA79E7"/>
    <w:rsid w:val="61AB7E9F"/>
    <w:rsid w:val="61AD00BB"/>
    <w:rsid w:val="61BC3E5D"/>
    <w:rsid w:val="61C60E54"/>
    <w:rsid w:val="61C6117D"/>
    <w:rsid w:val="61CC08C9"/>
    <w:rsid w:val="61FC4013"/>
    <w:rsid w:val="62402FB0"/>
    <w:rsid w:val="625153B1"/>
    <w:rsid w:val="627A277D"/>
    <w:rsid w:val="62892409"/>
    <w:rsid w:val="628B44C9"/>
    <w:rsid w:val="62927182"/>
    <w:rsid w:val="629372B1"/>
    <w:rsid w:val="62AD38B7"/>
    <w:rsid w:val="62BF10C6"/>
    <w:rsid w:val="62CC4F22"/>
    <w:rsid w:val="62DA4540"/>
    <w:rsid w:val="62EC6B66"/>
    <w:rsid w:val="62EF97F0"/>
    <w:rsid w:val="62F75092"/>
    <w:rsid w:val="62FF3778"/>
    <w:rsid w:val="63071A4D"/>
    <w:rsid w:val="630B33CF"/>
    <w:rsid w:val="632C5010"/>
    <w:rsid w:val="63381299"/>
    <w:rsid w:val="633A3BD0"/>
    <w:rsid w:val="6355379B"/>
    <w:rsid w:val="6359221C"/>
    <w:rsid w:val="637075F2"/>
    <w:rsid w:val="63707CB6"/>
    <w:rsid w:val="63841614"/>
    <w:rsid w:val="638B78E4"/>
    <w:rsid w:val="639541E8"/>
    <w:rsid w:val="639F57E1"/>
    <w:rsid w:val="63C41C93"/>
    <w:rsid w:val="63D831B4"/>
    <w:rsid w:val="63E73A58"/>
    <w:rsid w:val="63F7E04C"/>
    <w:rsid w:val="63FA5D9B"/>
    <w:rsid w:val="63FB5626"/>
    <w:rsid w:val="64061766"/>
    <w:rsid w:val="640A7441"/>
    <w:rsid w:val="64116946"/>
    <w:rsid w:val="643566E1"/>
    <w:rsid w:val="644B238B"/>
    <w:rsid w:val="645741FF"/>
    <w:rsid w:val="645804F4"/>
    <w:rsid w:val="647703BF"/>
    <w:rsid w:val="647B624F"/>
    <w:rsid w:val="648C220A"/>
    <w:rsid w:val="649A2379"/>
    <w:rsid w:val="649B244D"/>
    <w:rsid w:val="649B7FB2"/>
    <w:rsid w:val="64B55A64"/>
    <w:rsid w:val="64C15120"/>
    <w:rsid w:val="64C319A4"/>
    <w:rsid w:val="64CF6C8F"/>
    <w:rsid w:val="64DD6A31"/>
    <w:rsid w:val="64E330A7"/>
    <w:rsid w:val="64E35BA2"/>
    <w:rsid w:val="64E8449A"/>
    <w:rsid w:val="64EF4547"/>
    <w:rsid w:val="650049A6"/>
    <w:rsid w:val="6514179A"/>
    <w:rsid w:val="6518584B"/>
    <w:rsid w:val="651F307E"/>
    <w:rsid w:val="65532808"/>
    <w:rsid w:val="655C588C"/>
    <w:rsid w:val="65655F33"/>
    <w:rsid w:val="65757142"/>
    <w:rsid w:val="65766A16"/>
    <w:rsid w:val="658F2796"/>
    <w:rsid w:val="659A13EE"/>
    <w:rsid w:val="659B46FC"/>
    <w:rsid w:val="65A60CBD"/>
    <w:rsid w:val="65B505B4"/>
    <w:rsid w:val="65BC6B1F"/>
    <w:rsid w:val="65BE706E"/>
    <w:rsid w:val="65CB1601"/>
    <w:rsid w:val="65E02360"/>
    <w:rsid w:val="65E86B02"/>
    <w:rsid w:val="65EB11B2"/>
    <w:rsid w:val="65ED3349"/>
    <w:rsid w:val="65F81244"/>
    <w:rsid w:val="65FD9F25"/>
    <w:rsid w:val="65FDA08C"/>
    <w:rsid w:val="65FFA35B"/>
    <w:rsid w:val="661F3A8D"/>
    <w:rsid w:val="66210EA6"/>
    <w:rsid w:val="6639016F"/>
    <w:rsid w:val="663E0FD0"/>
    <w:rsid w:val="66417D66"/>
    <w:rsid w:val="665D57D6"/>
    <w:rsid w:val="666FFCBE"/>
    <w:rsid w:val="667E69D9"/>
    <w:rsid w:val="669A355D"/>
    <w:rsid w:val="669F746D"/>
    <w:rsid w:val="66B82A1D"/>
    <w:rsid w:val="66CD2720"/>
    <w:rsid w:val="66E7215A"/>
    <w:rsid w:val="66EA76BB"/>
    <w:rsid w:val="66F0321F"/>
    <w:rsid w:val="67242BCD"/>
    <w:rsid w:val="672500B3"/>
    <w:rsid w:val="672D7E08"/>
    <w:rsid w:val="672F1572"/>
    <w:rsid w:val="67382550"/>
    <w:rsid w:val="6764CC94"/>
    <w:rsid w:val="67650376"/>
    <w:rsid w:val="676D24F6"/>
    <w:rsid w:val="676F9FA3"/>
    <w:rsid w:val="677B7551"/>
    <w:rsid w:val="677E1655"/>
    <w:rsid w:val="678EFF6B"/>
    <w:rsid w:val="679424C4"/>
    <w:rsid w:val="679C66B0"/>
    <w:rsid w:val="679D028A"/>
    <w:rsid w:val="679F04A6"/>
    <w:rsid w:val="679F10E2"/>
    <w:rsid w:val="67AB6E4B"/>
    <w:rsid w:val="67AE2497"/>
    <w:rsid w:val="67B11F87"/>
    <w:rsid w:val="67B2A003"/>
    <w:rsid w:val="67BD2FCB"/>
    <w:rsid w:val="67BEEDDA"/>
    <w:rsid w:val="67BFDE23"/>
    <w:rsid w:val="67C7700B"/>
    <w:rsid w:val="67DA6B58"/>
    <w:rsid w:val="67DBAF28"/>
    <w:rsid w:val="67DF57EB"/>
    <w:rsid w:val="67DFA4E1"/>
    <w:rsid w:val="67EA0323"/>
    <w:rsid w:val="67EE653C"/>
    <w:rsid w:val="67F00D02"/>
    <w:rsid w:val="67F51B98"/>
    <w:rsid w:val="67F68F6D"/>
    <w:rsid w:val="67F70C86"/>
    <w:rsid w:val="67F753E2"/>
    <w:rsid w:val="67FAC5F5"/>
    <w:rsid w:val="67FB1CF4"/>
    <w:rsid w:val="67FB7237"/>
    <w:rsid w:val="67FBD462"/>
    <w:rsid w:val="67FE5953"/>
    <w:rsid w:val="67FE7938"/>
    <w:rsid w:val="67FF0FE6"/>
    <w:rsid w:val="67FFBE03"/>
    <w:rsid w:val="68212C69"/>
    <w:rsid w:val="683055E0"/>
    <w:rsid w:val="685E2C16"/>
    <w:rsid w:val="6874542F"/>
    <w:rsid w:val="688B27D8"/>
    <w:rsid w:val="68BB3C1A"/>
    <w:rsid w:val="68BEFE50"/>
    <w:rsid w:val="68C146E7"/>
    <w:rsid w:val="68CA2609"/>
    <w:rsid w:val="68CC1AED"/>
    <w:rsid w:val="68CD2B5E"/>
    <w:rsid w:val="68E1689C"/>
    <w:rsid w:val="68E714C9"/>
    <w:rsid w:val="68E9380F"/>
    <w:rsid w:val="68F55EA4"/>
    <w:rsid w:val="68F65F5C"/>
    <w:rsid w:val="69086CDA"/>
    <w:rsid w:val="69094DDC"/>
    <w:rsid w:val="6912081D"/>
    <w:rsid w:val="69140A20"/>
    <w:rsid w:val="691E054C"/>
    <w:rsid w:val="691E4EBF"/>
    <w:rsid w:val="691E6E1A"/>
    <w:rsid w:val="694C640B"/>
    <w:rsid w:val="694D0F74"/>
    <w:rsid w:val="696E4CF1"/>
    <w:rsid w:val="696F5C56"/>
    <w:rsid w:val="698A0EB3"/>
    <w:rsid w:val="69905C47"/>
    <w:rsid w:val="69A16A5A"/>
    <w:rsid w:val="69AA560F"/>
    <w:rsid w:val="69B14B9D"/>
    <w:rsid w:val="69BB0F42"/>
    <w:rsid w:val="69DFA570"/>
    <w:rsid w:val="69E13C23"/>
    <w:rsid w:val="69E44896"/>
    <w:rsid w:val="69EE3063"/>
    <w:rsid w:val="69FD0894"/>
    <w:rsid w:val="69FF2C9C"/>
    <w:rsid w:val="6A0A6C1A"/>
    <w:rsid w:val="6A2D7FEB"/>
    <w:rsid w:val="6A320795"/>
    <w:rsid w:val="6A4A63CB"/>
    <w:rsid w:val="6A637494"/>
    <w:rsid w:val="6A771266"/>
    <w:rsid w:val="6AD572A9"/>
    <w:rsid w:val="6ADE0446"/>
    <w:rsid w:val="6AE76759"/>
    <w:rsid w:val="6AF64570"/>
    <w:rsid w:val="6AFE8156"/>
    <w:rsid w:val="6AFFA5C9"/>
    <w:rsid w:val="6B272C8C"/>
    <w:rsid w:val="6B2F1B41"/>
    <w:rsid w:val="6B332268"/>
    <w:rsid w:val="6B376C47"/>
    <w:rsid w:val="6B3FC6FA"/>
    <w:rsid w:val="6B44012D"/>
    <w:rsid w:val="6B4D5C8F"/>
    <w:rsid w:val="6B4E7C81"/>
    <w:rsid w:val="6B6F4E93"/>
    <w:rsid w:val="6B8160BE"/>
    <w:rsid w:val="6B875CE9"/>
    <w:rsid w:val="6B9F066B"/>
    <w:rsid w:val="6BAFEDDC"/>
    <w:rsid w:val="6BB2C582"/>
    <w:rsid w:val="6BB727D7"/>
    <w:rsid w:val="6BB77DE6"/>
    <w:rsid w:val="6BB7F03F"/>
    <w:rsid w:val="6BCF62E6"/>
    <w:rsid w:val="6BDF234E"/>
    <w:rsid w:val="6BE91822"/>
    <w:rsid w:val="6BEB702E"/>
    <w:rsid w:val="6BF402CB"/>
    <w:rsid w:val="6BF64DA2"/>
    <w:rsid w:val="6BF7E7BA"/>
    <w:rsid w:val="6BF7F790"/>
    <w:rsid w:val="6BFA64B8"/>
    <w:rsid w:val="6BFC9D82"/>
    <w:rsid w:val="6BFD518D"/>
    <w:rsid w:val="6BFE1820"/>
    <w:rsid w:val="6C116FC8"/>
    <w:rsid w:val="6C22112B"/>
    <w:rsid w:val="6C305B70"/>
    <w:rsid w:val="6C48094C"/>
    <w:rsid w:val="6C7FE446"/>
    <w:rsid w:val="6C9360FF"/>
    <w:rsid w:val="6C944351"/>
    <w:rsid w:val="6C9D0D2C"/>
    <w:rsid w:val="6C9F094F"/>
    <w:rsid w:val="6C9F17B1"/>
    <w:rsid w:val="6CB27D35"/>
    <w:rsid w:val="6CBB0F79"/>
    <w:rsid w:val="6CCF5DD4"/>
    <w:rsid w:val="6CD3A16D"/>
    <w:rsid w:val="6CE64869"/>
    <w:rsid w:val="6CE7FE11"/>
    <w:rsid w:val="6CEB68FD"/>
    <w:rsid w:val="6CFBD556"/>
    <w:rsid w:val="6CFFED4F"/>
    <w:rsid w:val="6D05232B"/>
    <w:rsid w:val="6D201AAA"/>
    <w:rsid w:val="6D21131A"/>
    <w:rsid w:val="6D2B3891"/>
    <w:rsid w:val="6D2C2A4F"/>
    <w:rsid w:val="6D2F7020"/>
    <w:rsid w:val="6D3E250F"/>
    <w:rsid w:val="6D3E7E26"/>
    <w:rsid w:val="6D484DC2"/>
    <w:rsid w:val="6D4F0278"/>
    <w:rsid w:val="6D516F94"/>
    <w:rsid w:val="6D535020"/>
    <w:rsid w:val="6D552C30"/>
    <w:rsid w:val="6D5F1B3D"/>
    <w:rsid w:val="6D696D1C"/>
    <w:rsid w:val="6D7101EF"/>
    <w:rsid w:val="6D7C6502"/>
    <w:rsid w:val="6DAF3F80"/>
    <w:rsid w:val="6DB63E53"/>
    <w:rsid w:val="6DB7D73F"/>
    <w:rsid w:val="6DC507B0"/>
    <w:rsid w:val="6DC9627D"/>
    <w:rsid w:val="6DCA3DA3"/>
    <w:rsid w:val="6DD60CA2"/>
    <w:rsid w:val="6DD72070"/>
    <w:rsid w:val="6DDB1B0C"/>
    <w:rsid w:val="6DDBE7BF"/>
    <w:rsid w:val="6DDF51C9"/>
    <w:rsid w:val="6DF17581"/>
    <w:rsid w:val="6DF37591"/>
    <w:rsid w:val="6DF82E16"/>
    <w:rsid w:val="6DF9B5CA"/>
    <w:rsid w:val="6DFB56FE"/>
    <w:rsid w:val="6DFF1692"/>
    <w:rsid w:val="6DFF17D3"/>
    <w:rsid w:val="6DFF703B"/>
    <w:rsid w:val="6E291A60"/>
    <w:rsid w:val="6E2A65EF"/>
    <w:rsid w:val="6E2B2A93"/>
    <w:rsid w:val="6E3000AA"/>
    <w:rsid w:val="6E326900"/>
    <w:rsid w:val="6E38414C"/>
    <w:rsid w:val="6E3851B0"/>
    <w:rsid w:val="6E390680"/>
    <w:rsid w:val="6E405E13"/>
    <w:rsid w:val="6E441099"/>
    <w:rsid w:val="6E5D8D12"/>
    <w:rsid w:val="6E5F49A6"/>
    <w:rsid w:val="6E7F4871"/>
    <w:rsid w:val="6E8060D9"/>
    <w:rsid w:val="6E8432A7"/>
    <w:rsid w:val="6E8C8702"/>
    <w:rsid w:val="6E9A15E4"/>
    <w:rsid w:val="6E9D3DB7"/>
    <w:rsid w:val="6E9F73C1"/>
    <w:rsid w:val="6EA30BD3"/>
    <w:rsid w:val="6EA82557"/>
    <w:rsid w:val="6EBA5633"/>
    <w:rsid w:val="6EBAE07A"/>
    <w:rsid w:val="6EBD2982"/>
    <w:rsid w:val="6EBF8BD6"/>
    <w:rsid w:val="6EC26419"/>
    <w:rsid w:val="6ED94841"/>
    <w:rsid w:val="6EDEB109"/>
    <w:rsid w:val="6EE3511C"/>
    <w:rsid w:val="6EEFF7CF"/>
    <w:rsid w:val="6EF1599D"/>
    <w:rsid w:val="6EF50484"/>
    <w:rsid w:val="6EFB6B59"/>
    <w:rsid w:val="6EFB7EA7"/>
    <w:rsid w:val="6EFFE660"/>
    <w:rsid w:val="6F1D581A"/>
    <w:rsid w:val="6F1F2B64"/>
    <w:rsid w:val="6F1FD1F1"/>
    <w:rsid w:val="6F2729DD"/>
    <w:rsid w:val="6F3064A7"/>
    <w:rsid w:val="6F3A0AB4"/>
    <w:rsid w:val="6F653D83"/>
    <w:rsid w:val="6F658ABE"/>
    <w:rsid w:val="6F6C40DC"/>
    <w:rsid w:val="6F7242AA"/>
    <w:rsid w:val="6F76AB6E"/>
    <w:rsid w:val="6F79782E"/>
    <w:rsid w:val="6F7D85DE"/>
    <w:rsid w:val="6F7E8F25"/>
    <w:rsid w:val="6F7F7E44"/>
    <w:rsid w:val="6F963F3C"/>
    <w:rsid w:val="6FAB781B"/>
    <w:rsid w:val="6FAFB1E3"/>
    <w:rsid w:val="6FBE3F11"/>
    <w:rsid w:val="6FBEABF1"/>
    <w:rsid w:val="6FBF5839"/>
    <w:rsid w:val="6FBFF9D5"/>
    <w:rsid w:val="6FC40BD0"/>
    <w:rsid w:val="6FC9D63F"/>
    <w:rsid w:val="6FD31416"/>
    <w:rsid w:val="6FD35191"/>
    <w:rsid w:val="6FD739D0"/>
    <w:rsid w:val="6FD7936F"/>
    <w:rsid w:val="6FDBA53C"/>
    <w:rsid w:val="6FDBADA1"/>
    <w:rsid w:val="6FDCD7E8"/>
    <w:rsid w:val="6FDD7DBD"/>
    <w:rsid w:val="6FDEC31B"/>
    <w:rsid w:val="6FDF257D"/>
    <w:rsid w:val="6FDFC23A"/>
    <w:rsid w:val="6FE731C7"/>
    <w:rsid w:val="6FE769C0"/>
    <w:rsid w:val="6FEFB5A9"/>
    <w:rsid w:val="6FEFFB79"/>
    <w:rsid w:val="6FF506BB"/>
    <w:rsid w:val="6FF7744B"/>
    <w:rsid w:val="6FFB9269"/>
    <w:rsid w:val="6FFD3638"/>
    <w:rsid w:val="6FFD5F18"/>
    <w:rsid w:val="6FFF1221"/>
    <w:rsid w:val="6FFF37D2"/>
    <w:rsid w:val="6FFF9957"/>
    <w:rsid w:val="6FFFCA29"/>
    <w:rsid w:val="6FFFCA9E"/>
    <w:rsid w:val="701C39A1"/>
    <w:rsid w:val="70413814"/>
    <w:rsid w:val="70433998"/>
    <w:rsid w:val="704537CE"/>
    <w:rsid w:val="705242F2"/>
    <w:rsid w:val="7058674D"/>
    <w:rsid w:val="70666005"/>
    <w:rsid w:val="70810A07"/>
    <w:rsid w:val="70902959"/>
    <w:rsid w:val="70AD1920"/>
    <w:rsid w:val="70C31ADD"/>
    <w:rsid w:val="70C8281B"/>
    <w:rsid w:val="70DE2EF1"/>
    <w:rsid w:val="70E946A1"/>
    <w:rsid w:val="70EC075E"/>
    <w:rsid w:val="7111179A"/>
    <w:rsid w:val="71153048"/>
    <w:rsid w:val="71172F64"/>
    <w:rsid w:val="711E7547"/>
    <w:rsid w:val="712608E5"/>
    <w:rsid w:val="71334B0C"/>
    <w:rsid w:val="713944DB"/>
    <w:rsid w:val="713A4D9B"/>
    <w:rsid w:val="714D4ACF"/>
    <w:rsid w:val="714D61F8"/>
    <w:rsid w:val="715A543E"/>
    <w:rsid w:val="71925BBA"/>
    <w:rsid w:val="719E54A9"/>
    <w:rsid w:val="71A861A9"/>
    <w:rsid w:val="71B256A1"/>
    <w:rsid w:val="71C310EB"/>
    <w:rsid w:val="71D22E03"/>
    <w:rsid w:val="71EF3DD8"/>
    <w:rsid w:val="71FD7F0A"/>
    <w:rsid w:val="72001B41"/>
    <w:rsid w:val="722642DD"/>
    <w:rsid w:val="72434F77"/>
    <w:rsid w:val="724A1690"/>
    <w:rsid w:val="72571A58"/>
    <w:rsid w:val="72710C91"/>
    <w:rsid w:val="72760055"/>
    <w:rsid w:val="72901B70"/>
    <w:rsid w:val="72905936"/>
    <w:rsid w:val="72A31689"/>
    <w:rsid w:val="72A844B8"/>
    <w:rsid w:val="72AE3712"/>
    <w:rsid w:val="72BB015E"/>
    <w:rsid w:val="72BE5664"/>
    <w:rsid w:val="72BFF311"/>
    <w:rsid w:val="72F64878"/>
    <w:rsid w:val="72FD0171"/>
    <w:rsid w:val="731C54AF"/>
    <w:rsid w:val="731D4975"/>
    <w:rsid w:val="731D5B42"/>
    <w:rsid w:val="732E6B82"/>
    <w:rsid w:val="733E0DE9"/>
    <w:rsid w:val="733F2B3D"/>
    <w:rsid w:val="73597B32"/>
    <w:rsid w:val="735F0AE9"/>
    <w:rsid w:val="735FBDFB"/>
    <w:rsid w:val="73676CFC"/>
    <w:rsid w:val="73BBD739"/>
    <w:rsid w:val="73BFBBC8"/>
    <w:rsid w:val="73CF192B"/>
    <w:rsid w:val="73CFDE0D"/>
    <w:rsid w:val="73E5D3F8"/>
    <w:rsid w:val="73EF34D5"/>
    <w:rsid w:val="73F014E8"/>
    <w:rsid w:val="73FFD778"/>
    <w:rsid w:val="74277859"/>
    <w:rsid w:val="7437A8A2"/>
    <w:rsid w:val="746D2D67"/>
    <w:rsid w:val="747C4EA6"/>
    <w:rsid w:val="74934EEE"/>
    <w:rsid w:val="74A378D7"/>
    <w:rsid w:val="74A53A24"/>
    <w:rsid w:val="74A93097"/>
    <w:rsid w:val="74AA375E"/>
    <w:rsid w:val="74B17836"/>
    <w:rsid w:val="74B45345"/>
    <w:rsid w:val="74B75668"/>
    <w:rsid w:val="74C30512"/>
    <w:rsid w:val="74C57AA1"/>
    <w:rsid w:val="74C62EC0"/>
    <w:rsid w:val="74CDE9A5"/>
    <w:rsid w:val="74DB0643"/>
    <w:rsid w:val="74DD0B54"/>
    <w:rsid w:val="74DF046A"/>
    <w:rsid w:val="74F96070"/>
    <w:rsid w:val="74FE37C6"/>
    <w:rsid w:val="75121B9E"/>
    <w:rsid w:val="751C10AA"/>
    <w:rsid w:val="751F1F72"/>
    <w:rsid w:val="752E279A"/>
    <w:rsid w:val="75317FE7"/>
    <w:rsid w:val="7538683A"/>
    <w:rsid w:val="75440E09"/>
    <w:rsid w:val="7557416E"/>
    <w:rsid w:val="755E4BB8"/>
    <w:rsid w:val="7564579F"/>
    <w:rsid w:val="7577281F"/>
    <w:rsid w:val="757A40B8"/>
    <w:rsid w:val="757B0B3A"/>
    <w:rsid w:val="757E09C8"/>
    <w:rsid w:val="757F3C28"/>
    <w:rsid w:val="757F4275"/>
    <w:rsid w:val="757FE401"/>
    <w:rsid w:val="75854F8B"/>
    <w:rsid w:val="75964C07"/>
    <w:rsid w:val="759F981B"/>
    <w:rsid w:val="75A27BD8"/>
    <w:rsid w:val="75AB3F02"/>
    <w:rsid w:val="75B48209"/>
    <w:rsid w:val="75B5F6E0"/>
    <w:rsid w:val="75B75963"/>
    <w:rsid w:val="75C02329"/>
    <w:rsid w:val="75C4038F"/>
    <w:rsid w:val="75D1F2FE"/>
    <w:rsid w:val="75D73501"/>
    <w:rsid w:val="75DA0E59"/>
    <w:rsid w:val="75DA6B4D"/>
    <w:rsid w:val="75F78DD1"/>
    <w:rsid w:val="75FF2FB4"/>
    <w:rsid w:val="75FF6A04"/>
    <w:rsid w:val="75FFB19D"/>
    <w:rsid w:val="7601232C"/>
    <w:rsid w:val="761217D9"/>
    <w:rsid w:val="762E1A47"/>
    <w:rsid w:val="765048D8"/>
    <w:rsid w:val="765661D4"/>
    <w:rsid w:val="765F4924"/>
    <w:rsid w:val="766823AB"/>
    <w:rsid w:val="76725CE0"/>
    <w:rsid w:val="76725F79"/>
    <w:rsid w:val="76726815"/>
    <w:rsid w:val="76760624"/>
    <w:rsid w:val="767E0740"/>
    <w:rsid w:val="767E1BCE"/>
    <w:rsid w:val="768216BE"/>
    <w:rsid w:val="76855DC1"/>
    <w:rsid w:val="768B31D0"/>
    <w:rsid w:val="769C5FF5"/>
    <w:rsid w:val="769CAB48"/>
    <w:rsid w:val="769E19EA"/>
    <w:rsid w:val="76A934EF"/>
    <w:rsid w:val="76C13293"/>
    <w:rsid w:val="76C2046C"/>
    <w:rsid w:val="76D37824"/>
    <w:rsid w:val="76DB006C"/>
    <w:rsid w:val="76DC62DF"/>
    <w:rsid w:val="76DD3EB4"/>
    <w:rsid w:val="76DD959C"/>
    <w:rsid w:val="76DE16BB"/>
    <w:rsid w:val="76E403EF"/>
    <w:rsid w:val="76E93A81"/>
    <w:rsid w:val="76E9529A"/>
    <w:rsid w:val="76ECEEDF"/>
    <w:rsid w:val="76FD4CDF"/>
    <w:rsid w:val="76FDD92D"/>
    <w:rsid w:val="771149DE"/>
    <w:rsid w:val="771C7278"/>
    <w:rsid w:val="772DDD19"/>
    <w:rsid w:val="7737098A"/>
    <w:rsid w:val="77375C6B"/>
    <w:rsid w:val="7737EB57"/>
    <w:rsid w:val="77482A08"/>
    <w:rsid w:val="776540E3"/>
    <w:rsid w:val="77671538"/>
    <w:rsid w:val="776E1EAA"/>
    <w:rsid w:val="7771473F"/>
    <w:rsid w:val="777441CE"/>
    <w:rsid w:val="77753FF4"/>
    <w:rsid w:val="777B4DEB"/>
    <w:rsid w:val="777FC7B7"/>
    <w:rsid w:val="777FE422"/>
    <w:rsid w:val="778E58B3"/>
    <w:rsid w:val="779FAC49"/>
    <w:rsid w:val="77A964D0"/>
    <w:rsid w:val="77AF2768"/>
    <w:rsid w:val="77AF6FC5"/>
    <w:rsid w:val="77B7392F"/>
    <w:rsid w:val="77B92803"/>
    <w:rsid w:val="77BC6017"/>
    <w:rsid w:val="77BEF741"/>
    <w:rsid w:val="77C7039F"/>
    <w:rsid w:val="77CF86E0"/>
    <w:rsid w:val="77D535C3"/>
    <w:rsid w:val="77D777E8"/>
    <w:rsid w:val="77DB444D"/>
    <w:rsid w:val="77DBE122"/>
    <w:rsid w:val="77E386FB"/>
    <w:rsid w:val="77E618D8"/>
    <w:rsid w:val="77E7F54E"/>
    <w:rsid w:val="77EAF927"/>
    <w:rsid w:val="77EDAECE"/>
    <w:rsid w:val="77EFD356"/>
    <w:rsid w:val="77F81366"/>
    <w:rsid w:val="77FB3A67"/>
    <w:rsid w:val="77FCD2F0"/>
    <w:rsid w:val="77FD0DF8"/>
    <w:rsid w:val="77FD6552"/>
    <w:rsid w:val="77FE4752"/>
    <w:rsid w:val="77FEA750"/>
    <w:rsid w:val="77FF6C33"/>
    <w:rsid w:val="78056103"/>
    <w:rsid w:val="780E2ADE"/>
    <w:rsid w:val="78144598"/>
    <w:rsid w:val="78171102"/>
    <w:rsid w:val="78202F3D"/>
    <w:rsid w:val="78324776"/>
    <w:rsid w:val="78340796"/>
    <w:rsid w:val="78442870"/>
    <w:rsid w:val="784D1015"/>
    <w:rsid w:val="78601D3E"/>
    <w:rsid w:val="7862086D"/>
    <w:rsid w:val="78701C92"/>
    <w:rsid w:val="7872438A"/>
    <w:rsid w:val="78781F20"/>
    <w:rsid w:val="78947487"/>
    <w:rsid w:val="78A6B2A2"/>
    <w:rsid w:val="78B05A0E"/>
    <w:rsid w:val="78B674D3"/>
    <w:rsid w:val="78BBFBE1"/>
    <w:rsid w:val="78C12D3B"/>
    <w:rsid w:val="78D10319"/>
    <w:rsid w:val="78D635FC"/>
    <w:rsid w:val="78DD2BDC"/>
    <w:rsid w:val="78DD330F"/>
    <w:rsid w:val="78E42949"/>
    <w:rsid w:val="78E721C3"/>
    <w:rsid w:val="78EDD2F1"/>
    <w:rsid w:val="78EDDDDD"/>
    <w:rsid w:val="78F764C3"/>
    <w:rsid w:val="78FEB48F"/>
    <w:rsid w:val="78FFE51A"/>
    <w:rsid w:val="793E4BE4"/>
    <w:rsid w:val="79500936"/>
    <w:rsid w:val="796500F1"/>
    <w:rsid w:val="79660E24"/>
    <w:rsid w:val="796B6CDE"/>
    <w:rsid w:val="796C22A6"/>
    <w:rsid w:val="797169C9"/>
    <w:rsid w:val="79772520"/>
    <w:rsid w:val="7977A40D"/>
    <w:rsid w:val="79798836"/>
    <w:rsid w:val="79870D9A"/>
    <w:rsid w:val="798D5A6E"/>
    <w:rsid w:val="79A15333"/>
    <w:rsid w:val="79B7A12E"/>
    <w:rsid w:val="79B952FF"/>
    <w:rsid w:val="79BA865C"/>
    <w:rsid w:val="79BBBA9B"/>
    <w:rsid w:val="79DD42FA"/>
    <w:rsid w:val="79DE7490"/>
    <w:rsid w:val="79F00F06"/>
    <w:rsid w:val="79F3642F"/>
    <w:rsid w:val="79FC9715"/>
    <w:rsid w:val="79FEB583"/>
    <w:rsid w:val="79FFDC99"/>
    <w:rsid w:val="79FFF322"/>
    <w:rsid w:val="7A01456B"/>
    <w:rsid w:val="7A1103F0"/>
    <w:rsid w:val="7A293BFF"/>
    <w:rsid w:val="7A3E6B39"/>
    <w:rsid w:val="7A60342C"/>
    <w:rsid w:val="7A6C043E"/>
    <w:rsid w:val="7A7B0AAD"/>
    <w:rsid w:val="7A9A96AA"/>
    <w:rsid w:val="7AA05CB1"/>
    <w:rsid w:val="7AA2730F"/>
    <w:rsid w:val="7AA975E0"/>
    <w:rsid w:val="7AAA2106"/>
    <w:rsid w:val="7AAA783E"/>
    <w:rsid w:val="7AC65415"/>
    <w:rsid w:val="7ACE4140"/>
    <w:rsid w:val="7AD01970"/>
    <w:rsid w:val="7AD447E0"/>
    <w:rsid w:val="7ADA324A"/>
    <w:rsid w:val="7ADE51DC"/>
    <w:rsid w:val="7AE04C06"/>
    <w:rsid w:val="7AE534AB"/>
    <w:rsid w:val="7AE7170A"/>
    <w:rsid w:val="7AF11424"/>
    <w:rsid w:val="7AFB4F4E"/>
    <w:rsid w:val="7AFEC5C9"/>
    <w:rsid w:val="7AFEFB72"/>
    <w:rsid w:val="7AFF5EA5"/>
    <w:rsid w:val="7B116E16"/>
    <w:rsid w:val="7B172113"/>
    <w:rsid w:val="7B253F1A"/>
    <w:rsid w:val="7B271F47"/>
    <w:rsid w:val="7B2F1061"/>
    <w:rsid w:val="7B38234C"/>
    <w:rsid w:val="7B3F1A98"/>
    <w:rsid w:val="7B4C4A66"/>
    <w:rsid w:val="7B56AB6D"/>
    <w:rsid w:val="7B5A2CD9"/>
    <w:rsid w:val="7B5D3071"/>
    <w:rsid w:val="7B631DD3"/>
    <w:rsid w:val="7B668D43"/>
    <w:rsid w:val="7B6E15BA"/>
    <w:rsid w:val="7B742A28"/>
    <w:rsid w:val="7B783090"/>
    <w:rsid w:val="7B798AFD"/>
    <w:rsid w:val="7B7EA3EA"/>
    <w:rsid w:val="7B7F1277"/>
    <w:rsid w:val="7B7F85FF"/>
    <w:rsid w:val="7B9446FF"/>
    <w:rsid w:val="7B9CEDB5"/>
    <w:rsid w:val="7B9FA30C"/>
    <w:rsid w:val="7BA20599"/>
    <w:rsid w:val="7BAD5C89"/>
    <w:rsid w:val="7BAFC4BC"/>
    <w:rsid w:val="7BAFD5BE"/>
    <w:rsid w:val="7BB04097"/>
    <w:rsid w:val="7BB7AAE2"/>
    <w:rsid w:val="7BBD8339"/>
    <w:rsid w:val="7BBF6C5C"/>
    <w:rsid w:val="7BD42EFF"/>
    <w:rsid w:val="7BD7C7B0"/>
    <w:rsid w:val="7BD90701"/>
    <w:rsid w:val="7BDC6D6E"/>
    <w:rsid w:val="7BDE9A61"/>
    <w:rsid w:val="7BDEE20B"/>
    <w:rsid w:val="7BDF29C5"/>
    <w:rsid w:val="7BDFA41A"/>
    <w:rsid w:val="7BDFD4CA"/>
    <w:rsid w:val="7BE56AB8"/>
    <w:rsid w:val="7BE716BD"/>
    <w:rsid w:val="7BE9B751"/>
    <w:rsid w:val="7BEB2733"/>
    <w:rsid w:val="7BEB3F36"/>
    <w:rsid w:val="7BEC0C0D"/>
    <w:rsid w:val="7BEE3AF6"/>
    <w:rsid w:val="7BEF6A8C"/>
    <w:rsid w:val="7BF3D35C"/>
    <w:rsid w:val="7BF3F545"/>
    <w:rsid w:val="7BF70F43"/>
    <w:rsid w:val="7BF9B6FD"/>
    <w:rsid w:val="7BFD72D5"/>
    <w:rsid w:val="7BFE8E01"/>
    <w:rsid w:val="7BFF5E1F"/>
    <w:rsid w:val="7BFFDA0F"/>
    <w:rsid w:val="7BFFFF83"/>
    <w:rsid w:val="7C092067"/>
    <w:rsid w:val="7C0C3F27"/>
    <w:rsid w:val="7C1E1BAF"/>
    <w:rsid w:val="7C1E6139"/>
    <w:rsid w:val="7C273833"/>
    <w:rsid w:val="7C314E1A"/>
    <w:rsid w:val="7C453568"/>
    <w:rsid w:val="7C460A98"/>
    <w:rsid w:val="7C5B3262"/>
    <w:rsid w:val="7C5F4108"/>
    <w:rsid w:val="7C614047"/>
    <w:rsid w:val="7C6D66DD"/>
    <w:rsid w:val="7C7191C8"/>
    <w:rsid w:val="7C73417F"/>
    <w:rsid w:val="7C776FEE"/>
    <w:rsid w:val="7C7966E8"/>
    <w:rsid w:val="7C7B2764"/>
    <w:rsid w:val="7C7FCE38"/>
    <w:rsid w:val="7C867F82"/>
    <w:rsid w:val="7C8A0590"/>
    <w:rsid w:val="7C943EFA"/>
    <w:rsid w:val="7C972272"/>
    <w:rsid w:val="7C9D0309"/>
    <w:rsid w:val="7C9E2682"/>
    <w:rsid w:val="7CA0539A"/>
    <w:rsid w:val="7CB514D4"/>
    <w:rsid w:val="7CBC311C"/>
    <w:rsid w:val="7CC54D96"/>
    <w:rsid w:val="7CCD381F"/>
    <w:rsid w:val="7CCD3CED"/>
    <w:rsid w:val="7CCEFC80"/>
    <w:rsid w:val="7CCFFD88"/>
    <w:rsid w:val="7CD12A58"/>
    <w:rsid w:val="7CD67CEB"/>
    <w:rsid w:val="7CD7100B"/>
    <w:rsid w:val="7CDE5D34"/>
    <w:rsid w:val="7CDFD684"/>
    <w:rsid w:val="7CE23AF4"/>
    <w:rsid w:val="7CE9ADFE"/>
    <w:rsid w:val="7CF61B4A"/>
    <w:rsid w:val="7CF7005E"/>
    <w:rsid w:val="7CFB8603"/>
    <w:rsid w:val="7CFD5235"/>
    <w:rsid w:val="7CFE5AB0"/>
    <w:rsid w:val="7CFF230C"/>
    <w:rsid w:val="7D1103C2"/>
    <w:rsid w:val="7D2434EB"/>
    <w:rsid w:val="7D2E930D"/>
    <w:rsid w:val="7D3547CC"/>
    <w:rsid w:val="7D357A06"/>
    <w:rsid w:val="7D3C352C"/>
    <w:rsid w:val="7D3D3B03"/>
    <w:rsid w:val="7D3E29F9"/>
    <w:rsid w:val="7D5926F8"/>
    <w:rsid w:val="7D6531A0"/>
    <w:rsid w:val="7D66209A"/>
    <w:rsid w:val="7D6720ED"/>
    <w:rsid w:val="7D730375"/>
    <w:rsid w:val="7D77ABC5"/>
    <w:rsid w:val="7D7A2EAC"/>
    <w:rsid w:val="7D7F2BD0"/>
    <w:rsid w:val="7D7FD867"/>
    <w:rsid w:val="7D804FE9"/>
    <w:rsid w:val="7D8F2381"/>
    <w:rsid w:val="7D9F6D10"/>
    <w:rsid w:val="7DA360E9"/>
    <w:rsid w:val="7DA36C2B"/>
    <w:rsid w:val="7DB042DB"/>
    <w:rsid w:val="7DBE307E"/>
    <w:rsid w:val="7DBE7EAA"/>
    <w:rsid w:val="7DBF00B4"/>
    <w:rsid w:val="7DBF192F"/>
    <w:rsid w:val="7DBF6BAE"/>
    <w:rsid w:val="7DBF71E7"/>
    <w:rsid w:val="7DBFB733"/>
    <w:rsid w:val="7DC43DBF"/>
    <w:rsid w:val="7DC94750"/>
    <w:rsid w:val="7DCA62A3"/>
    <w:rsid w:val="7DCD2C0D"/>
    <w:rsid w:val="7DD71F0D"/>
    <w:rsid w:val="7DD7BEC2"/>
    <w:rsid w:val="7DD9CDF7"/>
    <w:rsid w:val="7DDB6E8C"/>
    <w:rsid w:val="7DDC7413"/>
    <w:rsid w:val="7DE150DD"/>
    <w:rsid w:val="7DE3FD14"/>
    <w:rsid w:val="7DE5BBCB"/>
    <w:rsid w:val="7DE893FB"/>
    <w:rsid w:val="7DED2646"/>
    <w:rsid w:val="7DEDEA65"/>
    <w:rsid w:val="7DF21152"/>
    <w:rsid w:val="7DF34C50"/>
    <w:rsid w:val="7DF62CD6"/>
    <w:rsid w:val="7DF637CD"/>
    <w:rsid w:val="7DF66C5F"/>
    <w:rsid w:val="7DF77C95"/>
    <w:rsid w:val="7DF91B04"/>
    <w:rsid w:val="7DFB0E3E"/>
    <w:rsid w:val="7DFBAB19"/>
    <w:rsid w:val="7DFC5158"/>
    <w:rsid w:val="7DFD1522"/>
    <w:rsid w:val="7DFD2679"/>
    <w:rsid w:val="7DFDE5CD"/>
    <w:rsid w:val="7DFFC3EA"/>
    <w:rsid w:val="7E14458D"/>
    <w:rsid w:val="7E1F7A70"/>
    <w:rsid w:val="7E1FFAEC"/>
    <w:rsid w:val="7E29DC73"/>
    <w:rsid w:val="7E392F50"/>
    <w:rsid w:val="7E3CFF25"/>
    <w:rsid w:val="7E3FE129"/>
    <w:rsid w:val="7E4403E3"/>
    <w:rsid w:val="7E49C3C2"/>
    <w:rsid w:val="7E552DB7"/>
    <w:rsid w:val="7E5B1FC9"/>
    <w:rsid w:val="7E5F9F96"/>
    <w:rsid w:val="7E5FBA95"/>
    <w:rsid w:val="7E610A91"/>
    <w:rsid w:val="7E6F613A"/>
    <w:rsid w:val="7E7F6982"/>
    <w:rsid w:val="7E837D82"/>
    <w:rsid w:val="7E9F26E2"/>
    <w:rsid w:val="7EA81A85"/>
    <w:rsid w:val="7EAF73EC"/>
    <w:rsid w:val="7EB01EFA"/>
    <w:rsid w:val="7EB21DE0"/>
    <w:rsid w:val="7EB62B76"/>
    <w:rsid w:val="7EBA6F1A"/>
    <w:rsid w:val="7EBE0C96"/>
    <w:rsid w:val="7EBF5888"/>
    <w:rsid w:val="7EBFC564"/>
    <w:rsid w:val="7EC465FC"/>
    <w:rsid w:val="7ECFEEAD"/>
    <w:rsid w:val="7ED7552D"/>
    <w:rsid w:val="7EE3497E"/>
    <w:rsid w:val="7EE876DF"/>
    <w:rsid w:val="7EEB1DE1"/>
    <w:rsid w:val="7EEBD868"/>
    <w:rsid w:val="7EEFB47D"/>
    <w:rsid w:val="7EF3FF94"/>
    <w:rsid w:val="7EF5974C"/>
    <w:rsid w:val="7EF70323"/>
    <w:rsid w:val="7EF7102E"/>
    <w:rsid w:val="7EF77BAB"/>
    <w:rsid w:val="7EFBA537"/>
    <w:rsid w:val="7EFD5D04"/>
    <w:rsid w:val="7EFFDB3A"/>
    <w:rsid w:val="7F094E03"/>
    <w:rsid w:val="7F120DED"/>
    <w:rsid w:val="7F196938"/>
    <w:rsid w:val="7F207CC7"/>
    <w:rsid w:val="7F26EA4E"/>
    <w:rsid w:val="7F2B04C0"/>
    <w:rsid w:val="7F2B4F1C"/>
    <w:rsid w:val="7F378231"/>
    <w:rsid w:val="7F3814E9"/>
    <w:rsid w:val="7F3BCABF"/>
    <w:rsid w:val="7F3C2523"/>
    <w:rsid w:val="7F3FB7F2"/>
    <w:rsid w:val="7F3FD8D9"/>
    <w:rsid w:val="7F4476B7"/>
    <w:rsid w:val="7F4A60F7"/>
    <w:rsid w:val="7F4E89EB"/>
    <w:rsid w:val="7F571267"/>
    <w:rsid w:val="7F5B26EF"/>
    <w:rsid w:val="7F5F444D"/>
    <w:rsid w:val="7F5FE838"/>
    <w:rsid w:val="7F66FC8D"/>
    <w:rsid w:val="7F6DDD29"/>
    <w:rsid w:val="7F6EC9C6"/>
    <w:rsid w:val="7F736048"/>
    <w:rsid w:val="7F7662DB"/>
    <w:rsid w:val="7F77B620"/>
    <w:rsid w:val="7F79C282"/>
    <w:rsid w:val="7F7B6CAE"/>
    <w:rsid w:val="7F7B7A0F"/>
    <w:rsid w:val="7F7B7D2D"/>
    <w:rsid w:val="7F7C76E3"/>
    <w:rsid w:val="7F7D1666"/>
    <w:rsid w:val="7F7D7798"/>
    <w:rsid w:val="7F7DF0C0"/>
    <w:rsid w:val="7F7E8588"/>
    <w:rsid w:val="7F7F4F32"/>
    <w:rsid w:val="7F9002A9"/>
    <w:rsid w:val="7F9F5917"/>
    <w:rsid w:val="7F9F5B51"/>
    <w:rsid w:val="7FA94346"/>
    <w:rsid w:val="7FAC1E41"/>
    <w:rsid w:val="7FAD1292"/>
    <w:rsid w:val="7FB17429"/>
    <w:rsid w:val="7FB49D09"/>
    <w:rsid w:val="7FB55DBA"/>
    <w:rsid w:val="7FB7612A"/>
    <w:rsid w:val="7FB92435"/>
    <w:rsid w:val="7FBB27FB"/>
    <w:rsid w:val="7FBB6B3E"/>
    <w:rsid w:val="7FBE7F6C"/>
    <w:rsid w:val="7FBF6DD0"/>
    <w:rsid w:val="7FBF6E76"/>
    <w:rsid w:val="7FBF763E"/>
    <w:rsid w:val="7FC3CAA2"/>
    <w:rsid w:val="7FC6164E"/>
    <w:rsid w:val="7FCD17FE"/>
    <w:rsid w:val="7FCD1AC1"/>
    <w:rsid w:val="7FCFAB21"/>
    <w:rsid w:val="7FCFAC9D"/>
    <w:rsid w:val="7FCFD623"/>
    <w:rsid w:val="7FD71EE4"/>
    <w:rsid w:val="7FD7735D"/>
    <w:rsid w:val="7FD7E9A0"/>
    <w:rsid w:val="7FDA251B"/>
    <w:rsid w:val="7FDB706F"/>
    <w:rsid w:val="7FDBBCA2"/>
    <w:rsid w:val="7FDC6A1E"/>
    <w:rsid w:val="7FDDD1D1"/>
    <w:rsid w:val="7FDDE0A5"/>
    <w:rsid w:val="7FDF46BA"/>
    <w:rsid w:val="7FDFC015"/>
    <w:rsid w:val="7FDFD0E2"/>
    <w:rsid w:val="7FE37E59"/>
    <w:rsid w:val="7FE5B7E6"/>
    <w:rsid w:val="7FE649B7"/>
    <w:rsid w:val="7FE77536"/>
    <w:rsid w:val="7FE79CF0"/>
    <w:rsid w:val="7FE7ED7A"/>
    <w:rsid w:val="7FE7F345"/>
    <w:rsid w:val="7FE9FBB2"/>
    <w:rsid w:val="7FEB8B08"/>
    <w:rsid w:val="7FEE9BFE"/>
    <w:rsid w:val="7FEF5513"/>
    <w:rsid w:val="7FEFE5B1"/>
    <w:rsid w:val="7FF13E34"/>
    <w:rsid w:val="7FF1C106"/>
    <w:rsid w:val="7FF23219"/>
    <w:rsid w:val="7FF2F73C"/>
    <w:rsid w:val="7FF37F03"/>
    <w:rsid w:val="7FF38A2E"/>
    <w:rsid w:val="7FF64053"/>
    <w:rsid w:val="7FF71A23"/>
    <w:rsid w:val="7FF75CC5"/>
    <w:rsid w:val="7FF7A65B"/>
    <w:rsid w:val="7FF7EC63"/>
    <w:rsid w:val="7FF8BC82"/>
    <w:rsid w:val="7FFA416D"/>
    <w:rsid w:val="7FFB18BE"/>
    <w:rsid w:val="7FFB2112"/>
    <w:rsid w:val="7FFB2FF3"/>
    <w:rsid w:val="7FFB3FEB"/>
    <w:rsid w:val="7FFCC595"/>
    <w:rsid w:val="7FFCE03A"/>
    <w:rsid w:val="7FFD2D10"/>
    <w:rsid w:val="7FFD63A3"/>
    <w:rsid w:val="7FFD6F6F"/>
    <w:rsid w:val="7FFDFA3B"/>
    <w:rsid w:val="7FFE115B"/>
    <w:rsid w:val="7FFE68BF"/>
    <w:rsid w:val="7FFE6E1F"/>
    <w:rsid w:val="7FFEB7AF"/>
    <w:rsid w:val="7FFED5CA"/>
    <w:rsid w:val="7FFEEEF9"/>
    <w:rsid w:val="7FFEF8D3"/>
    <w:rsid w:val="7FFEFB2F"/>
    <w:rsid w:val="7FFF021D"/>
    <w:rsid w:val="7FFF02ED"/>
    <w:rsid w:val="7FFF1477"/>
    <w:rsid w:val="7FFF1A68"/>
    <w:rsid w:val="7FFF1E0E"/>
    <w:rsid w:val="7FFF25D1"/>
    <w:rsid w:val="7FFF62B1"/>
    <w:rsid w:val="7FFF65D2"/>
    <w:rsid w:val="7FFF76AA"/>
    <w:rsid w:val="7FFF78DC"/>
    <w:rsid w:val="7FFF82E3"/>
    <w:rsid w:val="7FFF869E"/>
    <w:rsid w:val="7FFFB1DE"/>
    <w:rsid w:val="7FFFF5AB"/>
    <w:rsid w:val="8307105A"/>
    <w:rsid w:val="84AE6204"/>
    <w:rsid w:val="85E555A1"/>
    <w:rsid w:val="89BE1A46"/>
    <w:rsid w:val="8AF79D10"/>
    <w:rsid w:val="8D8F2D93"/>
    <w:rsid w:val="8DDF2B6B"/>
    <w:rsid w:val="8DFD4575"/>
    <w:rsid w:val="8EE4FC2C"/>
    <w:rsid w:val="8EEBDE32"/>
    <w:rsid w:val="8F7D023B"/>
    <w:rsid w:val="8FAA4BA2"/>
    <w:rsid w:val="8FB1A5FC"/>
    <w:rsid w:val="8FB68CEA"/>
    <w:rsid w:val="8FFFA67E"/>
    <w:rsid w:val="91FF4DFB"/>
    <w:rsid w:val="92F0777F"/>
    <w:rsid w:val="92FCE4F9"/>
    <w:rsid w:val="92FF72E5"/>
    <w:rsid w:val="93BF6BCA"/>
    <w:rsid w:val="93FF221D"/>
    <w:rsid w:val="97370AEC"/>
    <w:rsid w:val="976E9E60"/>
    <w:rsid w:val="977E0A53"/>
    <w:rsid w:val="979F94CE"/>
    <w:rsid w:val="99FED03A"/>
    <w:rsid w:val="9BABAE5B"/>
    <w:rsid w:val="9BBC9B52"/>
    <w:rsid w:val="9BCFA252"/>
    <w:rsid w:val="9BFF4A79"/>
    <w:rsid w:val="9D5E35E6"/>
    <w:rsid w:val="9D76B4E5"/>
    <w:rsid w:val="9DF304FE"/>
    <w:rsid w:val="9E7E79BF"/>
    <w:rsid w:val="9EEFA036"/>
    <w:rsid w:val="9EFD5B42"/>
    <w:rsid w:val="9F16DF7B"/>
    <w:rsid w:val="9F7D858F"/>
    <w:rsid w:val="9F7E4F82"/>
    <w:rsid w:val="9FA1C283"/>
    <w:rsid w:val="9FDD6945"/>
    <w:rsid w:val="9FDEAF49"/>
    <w:rsid w:val="9FF6A2C4"/>
    <w:rsid w:val="9FF8CD7C"/>
    <w:rsid w:val="9FFB90BA"/>
    <w:rsid w:val="9FFFA40D"/>
    <w:rsid w:val="A2EFF527"/>
    <w:rsid w:val="A36FA280"/>
    <w:rsid w:val="A46F7D75"/>
    <w:rsid w:val="A5FFB563"/>
    <w:rsid w:val="A69F16AB"/>
    <w:rsid w:val="A6FF6566"/>
    <w:rsid w:val="A6FFD604"/>
    <w:rsid w:val="A7DDF34B"/>
    <w:rsid w:val="A7FEBB6D"/>
    <w:rsid w:val="A89B9117"/>
    <w:rsid w:val="A97F623E"/>
    <w:rsid w:val="A9CBB988"/>
    <w:rsid w:val="A9FE5A00"/>
    <w:rsid w:val="AABC6924"/>
    <w:rsid w:val="AB76637D"/>
    <w:rsid w:val="AB7ECA18"/>
    <w:rsid w:val="AB7F6371"/>
    <w:rsid w:val="ABB760B6"/>
    <w:rsid w:val="ABF7E86A"/>
    <w:rsid w:val="ABFF2240"/>
    <w:rsid w:val="AC74056E"/>
    <w:rsid w:val="ACF38B0F"/>
    <w:rsid w:val="ADAD89A5"/>
    <w:rsid w:val="ADD47A16"/>
    <w:rsid w:val="ADFB2AD7"/>
    <w:rsid w:val="AE67E366"/>
    <w:rsid w:val="AE7F5444"/>
    <w:rsid w:val="AEDDC0A6"/>
    <w:rsid w:val="AEFF155F"/>
    <w:rsid w:val="AF0FDD8B"/>
    <w:rsid w:val="AF1B6D95"/>
    <w:rsid w:val="AF4F7D6B"/>
    <w:rsid w:val="AF756DEE"/>
    <w:rsid w:val="AFB21854"/>
    <w:rsid w:val="AFBF8780"/>
    <w:rsid w:val="AFCF0E3B"/>
    <w:rsid w:val="AFEDE43F"/>
    <w:rsid w:val="AFEF302D"/>
    <w:rsid w:val="AFF11928"/>
    <w:rsid w:val="AFF7E022"/>
    <w:rsid w:val="AFFD339B"/>
    <w:rsid w:val="AFFF8FD6"/>
    <w:rsid w:val="B06B1AEC"/>
    <w:rsid w:val="B17D6B53"/>
    <w:rsid w:val="B18C232E"/>
    <w:rsid w:val="B1FE4ED5"/>
    <w:rsid w:val="B2DEFEC6"/>
    <w:rsid w:val="B2EFEF41"/>
    <w:rsid w:val="B35F6156"/>
    <w:rsid w:val="B3F7D366"/>
    <w:rsid w:val="B41F550D"/>
    <w:rsid w:val="B4AFB69D"/>
    <w:rsid w:val="B53F4C96"/>
    <w:rsid w:val="B55F9C21"/>
    <w:rsid w:val="B57DEDD3"/>
    <w:rsid w:val="B5C89C49"/>
    <w:rsid w:val="B5EE123B"/>
    <w:rsid w:val="B5FF41D5"/>
    <w:rsid w:val="B6753F69"/>
    <w:rsid w:val="B6AFB0C8"/>
    <w:rsid w:val="B77CD5B0"/>
    <w:rsid w:val="B7AFE64D"/>
    <w:rsid w:val="B7BF7FB1"/>
    <w:rsid w:val="B7BFE480"/>
    <w:rsid w:val="B7D3A83B"/>
    <w:rsid w:val="B7DD6D64"/>
    <w:rsid w:val="B7FA8082"/>
    <w:rsid w:val="B7FBA458"/>
    <w:rsid w:val="B7FF5C1D"/>
    <w:rsid w:val="B7FFDB49"/>
    <w:rsid w:val="B8F73CF8"/>
    <w:rsid w:val="B8FFE3F7"/>
    <w:rsid w:val="B97C9710"/>
    <w:rsid w:val="B9BAFE71"/>
    <w:rsid w:val="B9D0F81B"/>
    <w:rsid w:val="B9D5E7A2"/>
    <w:rsid w:val="BA7DFACE"/>
    <w:rsid w:val="BAA60C83"/>
    <w:rsid w:val="BAC4C3EB"/>
    <w:rsid w:val="BAEFBB52"/>
    <w:rsid w:val="BAFDF1FF"/>
    <w:rsid w:val="BB7DCEC7"/>
    <w:rsid w:val="BB9F9185"/>
    <w:rsid w:val="BBAE3147"/>
    <w:rsid w:val="BBD3352E"/>
    <w:rsid w:val="BBE7BE01"/>
    <w:rsid w:val="BCFF4D4A"/>
    <w:rsid w:val="BD46EC1B"/>
    <w:rsid w:val="BD77E711"/>
    <w:rsid w:val="BD7DCF70"/>
    <w:rsid w:val="BDB256C7"/>
    <w:rsid w:val="BDCFB977"/>
    <w:rsid w:val="BDD45D2C"/>
    <w:rsid w:val="BDD7B43D"/>
    <w:rsid w:val="BDD9AE97"/>
    <w:rsid w:val="BDDF7E3F"/>
    <w:rsid w:val="BDDFC286"/>
    <w:rsid w:val="BDE10C82"/>
    <w:rsid w:val="BDF39DE2"/>
    <w:rsid w:val="BDFB9A7A"/>
    <w:rsid w:val="BDFBCBB3"/>
    <w:rsid w:val="BDFD90D1"/>
    <w:rsid w:val="BDFF1C94"/>
    <w:rsid w:val="BDFFBC01"/>
    <w:rsid w:val="BE3BC985"/>
    <w:rsid w:val="BE5BD9C0"/>
    <w:rsid w:val="BE9D2187"/>
    <w:rsid w:val="BEBF13E0"/>
    <w:rsid w:val="BEDB2ECC"/>
    <w:rsid w:val="BEDF6A54"/>
    <w:rsid w:val="BEDFC224"/>
    <w:rsid w:val="BEEE0DA0"/>
    <w:rsid w:val="BEEFCB4B"/>
    <w:rsid w:val="BEFF5FBC"/>
    <w:rsid w:val="BEFFCF5A"/>
    <w:rsid w:val="BEFFE0C1"/>
    <w:rsid w:val="BF1449C6"/>
    <w:rsid w:val="BF389E2E"/>
    <w:rsid w:val="BF3D478D"/>
    <w:rsid w:val="BF3EF69B"/>
    <w:rsid w:val="BF5FB051"/>
    <w:rsid w:val="BF6B7163"/>
    <w:rsid w:val="BF6BC8E2"/>
    <w:rsid w:val="BF7B51D0"/>
    <w:rsid w:val="BF7F2733"/>
    <w:rsid w:val="BF7F3107"/>
    <w:rsid w:val="BF9C4F37"/>
    <w:rsid w:val="BFA5C2A6"/>
    <w:rsid w:val="BFA5D12F"/>
    <w:rsid w:val="BFAD8054"/>
    <w:rsid w:val="BFAF6780"/>
    <w:rsid w:val="BFB702E7"/>
    <w:rsid w:val="BFB79A71"/>
    <w:rsid w:val="BFBB55B7"/>
    <w:rsid w:val="BFBEF0F1"/>
    <w:rsid w:val="BFBF992A"/>
    <w:rsid w:val="BFCFEB4F"/>
    <w:rsid w:val="BFDB669A"/>
    <w:rsid w:val="BFE6F841"/>
    <w:rsid w:val="BFE73F34"/>
    <w:rsid w:val="BFEF61B8"/>
    <w:rsid w:val="BFF6D55B"/>
    <w:rsid w:val="BFF7B210"/>
    <w:rsid w:val="BFFBFC8F"/>
    <w:rsid w:val="BFFD299A"/>
    <w:rsid w:val="BFFDC1F9"/>
    <w:rsid w:val="BFFDC7DC"/>
    <w:rsid w:val="BFFDEF1A"/>
    <w:rsid w:val="BFFF0F05"/>
    <w:rsid w:val="BFFF5F48"/>
    <w:rsid w:val="BFFFDD13"/>
    <w:rsid w:val="BFFFFE09"/>
    <w:rsid w:val="C3B7217E"/>
    <w:rsid w:val="C42F5AD5"/>
    <w:rsid w:val="C5AEF477"/>
    <w:rsid w:val="C65FEE7A"/>
    <w:rsid w:val="C767CFE0"/>
    <w:rsid w:val="C77FD281"/>
    <w:rsid w:val="C7BD48D7"/>
    <w:rsid w:val="C7F7E16B"/>
    <w:rsid w:val="C87F8696"/>
    <w:rsid w:val="C9FE356E"/>
    <w:rsid w:val="C9FFC7AA"/>
    <w:rsid w:val="CAFFD847"/>
    <w:rsid w:val="CBDF8709"/>
    <w:rsid w:val="CBE77271"/>
    <w:rsid w:val="CCFCA778"/>
    <w:rsid w:val="CCFFA63A"/>
    <w:rsid w:val="CCFFECC3"/>
    <w:rsid w:val="CDBBC481"/>
    <w:rsid w:val="CDF2938D"/>
    <w:rsid w:val="CE3BD25E"/>
    <w:rsid w:val="CE4F6272"/>
    <w:rsid w:val="CE7BE0E5"/>
    <w:rsid w:val="CEFD6A2E"/>
    <w:rsid w:val="CF6EC00B"/>
    <w:rsid w:val="CF796E44"/>
    <w:rsid w:val="CF7BA826"/>
    <w:rsid w:val="CF7BC8E3"/>
    <w:rsid w:val="CF9F65C7"/>
    <w:rsid w:val="CFBEC659"/>
    <w:rsid w:val="CFDF58B3"/>
    <w:rsid w:val="CFEC7262"/>
    <w:rsid w:val="CFF717E1"/>
    <w:rsid w:val="CFF9BEF6"/>
    <w:rsid w:val="CFFEEDC7"/>
    <w:rsid w:val="CFFF5B20"/>
    <w:rsid w:val="CFFF982D"/>
    <w:rsid w:val="D1FAE4BC"/>
    <w:rsid w:val="D1FD7A6C"/>
    <w:rsid w:val="D29B673F"/>
    <w:rsid w:val="D2DF35AD"/>
    <w:rsid w:val="D36F1E2C"/>
    <w:rsid w:val="D3E500B6"/>
    <w:rsid w:val="D3EDF4F3"/>
    <w:rsid w:val="D4F64E3D"/>
    <w:rsid w:val="D4FEDA3A"/>
    <w:rsid w:val="D57BC952"/>
    <w:rsid w:val="D57BF6F4"/>
    <w:rsid w:val="D58FB316"/>
    <w:rsid w:val="D5BBAE96"/>
    <w:rsid w:val="D5DE8897"/>
    <w:rsid w:val="D5E7A04F"/>
    <w:rsid w:val="D5FFFA21"/>
    <w:rsid w:val="D65E1C25"/>
    <w:rsid w:val="D676A578"/>
    <w:rsid w:val="D6DE2190"/>
    <w:rsid w:val="D6DF8C8B"/>
    <w:rsid w:val="D7356C85"/>
    <w:rsid w:val="D75BD063"/>
    <w:rsid w:val="D75FE810"/>
    <w:rsid w:val="D769E491"/>
    <w:rsid w:val="D7758766"/>
    <w:rsid w:val="D7BC4244"/>
    <w:rsid w:val="D7CD09B8"/>
    <w:rsid w:val="D7D75747"/>
    <w:rsid w:val="D7E716FB"/>
    <w:rsid w:val="D7E795FE"/>
    <w:rsid w:val="D7F9EDFE"/>
    <w:rsid w:val="D7FE50CA"/>
    <w:rsid w:val="D7FF8FB2"/>
    <w:rsid w:val="D7FFBC0A"/>
    <w:rsid w:val="D93C6981"/>
    <w:rsid w:val="D95ED506"/>
    <w:rsid w:val="D9777C88"/>
    <w:rsid w:val="D9EAD176"/>
    <w:rsid w:val="DAEFF803"/>
    <w:rsid w:val="DAF75F10"/>
    <w:rsid w:val="DB1F11D7"/>
    <w:rsid w:val="DB373974"/>
    <w:rsid w:val="DB5F635A"/>
    <w:rsid w:val="DB6F9F99"/>
    <w:rsid w:val="DB771701"/>
    <w:rsid w:val="DB7FE17E"/>
    <w:rsid w:val="DBAF3E20"/>
    <w:rsid w:val="DBBBABDC"/>
    <w:rsid w:val="DBD39682"/>
    <w:rsid w:val="DBE05ABB"/>
    <w:rsid w:val="DBEE67C5"/>
    <w:rsid w:val="DBF730F6"/>
    <w:rsid w:val="DBF74CB8"/>
    <w:rsid w:val="DBFC4614"/>
    <w:rsid w:val="DBFFE543"/>
    <w:rsid w:val="DC745D82"/>
    <w:rsid w:val="DC7BA333"/>
    <w:rsid w:val="DC7F78F1"/>
    <w:rsid w:val="DCD6ABD9"/>
    <w:rsid w:val="DCF3D028"/>
    <w:rsid w:val="DCFB65C4"/>
    <w:rsid w:val="DCFD0E4B"/>
    <w:rsid w:val="DCFDBAF9"/>
    <w:rsid w:val="DCFFF3FC"/>
    <w:rsid w:val="DD3F3C47"/>
    <w:rsid w:val="DD4737E3"/>
    <w:rsid w:val="DD51DCE1"/>
    <w:rsid w:val="DD7C5D3F"/>
    <w:rsid w:val="DD7D335A"/>
    <w:rsid w:val="DD7EE2A6"/>
    <w:rsid w:val="DDB70DF0"/>
    <w:rsid w:val="DDB769A3"/>
    <w:rsid w:val="DDDEA265"/>
    <w:rsid w:val="DDFE7605"/>
    <w:rsid w:val="DDFF5E09"/>
    <w:rsid w:val="DE6B6932"/>
    <w:rsid w:val="DE7E1BD9"/>
    <w:rsid w:val="DEAC4CFE"/>
    <w:rsid w:val="DEAD52CA"/>
    <w:rsid w:val="DEBD77B4"/>
    <w:rsid w:val="DEDFF18F"/>
    <w:rsid w:val="DEEE38D1"/>
    <w:rsid w:val="DEEF4938"/>
    <w:rsid w:val="DEEF8E8B"/>
    <w:rsid w:val="DEF6DD16"/>
    <w:rsid w:val="DEFA6F2D"/>
    <w:rsid w:val="DEFBA998"/>
    <w:rsid w:val="DEFBF35D"/>
    <w:rsid w:val="DEFFBA68"/>
    <w:rsid w:val="DEFFFA70"/>
    <w:rsid w:val="DF1F3672"/>
    <w:rsid w:val="DF3F0CA3"/>
    <w:rsid w:val="DF47A12C"/>
    <w:rsid w:val="DF5FFB32"/>
    <w:rsid w:val="DF672674"/>
    <w:rsid w:val="DF6F24C5"/>
    <w:rsid w:val="DF7F2C6F"/>
    <w:rsid w:val="DF7F5065"/>
    <w:rsid w:val="DF968984"/>
    <w:rsid w:val="DF9E780D"/>
    <w:rsid w:val="DFA6E447"/>
    <w:rsid w:val="DFAB1E84"/>
    <w:rsid w:val="DFAF681B"/>
    <w:rsid w:val="DFB723E7"/>
    <w:rsid w:val="DFBFC0E6"/>
    <w:rsid w:val="DFCF9C5B"/>
    <w:rsid w:val="DFD3C6E5"/>
    <w:rsid w:val="DFDF5F97"/>
    <w:rsid w:val="DFDFF04A"/>
    <w:rsid w:val="DFE6DA77"/>
    <w:rsid w:val="DFE70C68"/>
    <w:rsid w:val="DFE765FB"/>
    <w:rsid w:val="DFEB4982"/>
    <w:rsid w:val="DFF360F6"/>
    <w:rsid w:val="DFF37C68"/>
    <w:rsid w:val="DFF4CC59"/>
    <w:rsid w:val="DFF71364"/>
    <w:rsid w:val="DFF73D00"/>
    <w:rsid w:val="DFFAE9AC"/>
    <w:rsid w:val="DFFB4519"/>
    <w:rsid w:val="DFFBC8DE"/>
    <w:rsid w:val="DFFEBFF1"/>
    <w:rsid w:val="DFFEF263"/>
    <w:rsid w:val="DFFF2B1D"/>
    <w:rsid w:val="DFFF796D"/>
    <w:rsid w:val="DFFFA1F0"/>
    <w:rsid w:val="E1BF3281"/>
    <w:rsid w:val="E2F69BA3"/>
    <w:rsid w:val="E2F966EE"/>
    <w:rsid w:val="E373ACB4"/>
    <w:rsid w:val="E37D368F"/>
    <w:rsid w:val="E3BBF062"/>
    <w:rsid w:val="E3BD4E6C"/>
    <w:rsid w:val="E3F74E31"/>
    <w:rsid w:val="E3FD166A"/>
    <w:rsid w:val="E3FE731E"/>
    <w:rsid w:val="E4B681FF"/>
    <w:rsid w:val="E4FEFD08"/>
    <w:rsid w:val="E4FFA7E9"/>
    <w:rsid w:val="E56FE68A"/>
    <w:rsid w:val="E5BBB4BD"/>
    <w:rsid w:val="E5FB5BD4"/>
    <w:rsid w:val="E6BC6C89"/>
    <w:rsid w:val="E6FD465C"/>
    <w:rsid w:val="E777F1FE"/>
    <w:rsid w:val="E79FC16B"/>
    <w:rsid w:val="E7B2642B"/>
    <w:rsid w:val="E7E60804"/>
    <w:rsid w:val="E7E81BB9"/>
    <w:rsid w:val="E7F46EA4"/>
    <w:rsid w:val="E7F4AE8E"/>
    <w:rsid w:val="E7FE3684"/>
    <w:rsid w:val="E7FF9AC3"/>
    <w:rsid w:val="E7FF9B4A"/>
    <w:rsid w:val="E8BD6BE1"/>
    <w:rsid w:val="E8FFB558"/>
    <w:rsid w:val="E97E3B53"/>
    <w:rsid w:val="E9DFA33A"/>
    <w:rsid w:val="E9F5EDC6"/>
    <w:rsid w:val="EADF6C20"/>
    <w:rsid w:val="EAF54EA5"/>
    <w:rsid w:val="EAFE1036"/>
    <w:rsid w:val="EB3B157F"/>
    <w:rsid w:val="EB6F94C7"/>
    <w:rsid w:val="EB75A0DB"/>
    <w:rsid w:val="EB8B950B"/>
    <w:rsid w:val="EB8F918C"/>
    <w:rsid w:val="EB9E5E6C"/>
    <w:rsid w:val="EBB67D3D"/>
    <w:rsid w:val="EBB721A1"/>
    <w:rsid w:val="EBBF22EA"/>
    <w:rsid w:val="EBBF51E1"/>
    <w:rsid w:val="EBEDC091"/>
    <w:rsid w:val="EBF78E4D"/>
    <w:rsid w:val="EBFB21D1"/>
    <w:rsid w:val="EBFDA152"/>
    <w:rsid w:val="EBFDBA7F"/>
    <w:rsid w:val="EC427ACF"/>
    <w:rsid w:val="ECB9EA4D"/>
    <w:rsid w:val="ECFEAF24"/>
    <w:rsid w:val="ECFF7AEE"/>
    <w:rsid w:val="ED3FF915"/>
    <w:rsid w:val="ED75190F"/>
    <w:rsid w:val="EDBB4D17"/>
    <w:rsid w:val="EDBFB915"/>
    <w:rsid w:val="EDDE86F3"/>
    <w:rsid w:val="EDEC0089"/>
    <w:rsid w:val="EDF696BB"/>
    <w:rsid w:val="EDFBFED2"/>
    <w:rsid w:val="EDFE68D7"/>
    <w:rsid w:val="EDFF4984"/>
    <w:rsid w:val="EDFFD9C0"/>
    <w:rsid w:val="EDFFF4BD"/>
    <w:rsid w:val="EE57FB12"/>
    <w:rsid w:val="EE791420"/>
    <w:rsid w:val="EE797481"/>
    <w:rsid w:val="EE7BD883"/>
    <w:rsid w:val="EE7D1C42"/>
    <w:rsid w:val="EE7F0E52"/>
    <w:rsid w:val="EE9ECD10"/>
    <w:rsid w:val="EEAF5ED3"/>
    <w:rsid w:val="EEB777EF"/>
    <w:rsid w:val="EEB7D649"/>
    <w:rsid w:val="EEDD51B9"/>
    <w:rsid w:val="EEDF6590"/>
    <w:rsid w:val="EEEF15A9"/>
    <w:rsid w:val="EEF75A92"/>
    <w:rsid w:val="EEFF44F6"/>
    <w:rsid w:val="EEFFF8EC"/>
    <w:rsid w:val="EF17E8FB"/>
    <w:rsid w:val="EF33EE74"/>
    <w:rsid w:val="EF5E01C7"/>
    <w:rsid w:val="EF6F7DFF"/>
    <w:rsid w:val="EF6FEC84"/>
    <w:rsid w:val="EF75B932"/>
    <w:rsid w:val="EF7F8A09"/>
    <w:rsid w:val="EF7FF622"/>
    <w:rsid w:val="EF8772A4"/>
    <w:rsid w:val="EF9E0F0F"/>
    <w:rsid w:val="EFB7B262"/>
    <w:rsid w:val="EFBF654A"/>
    <w:rsid w:val="EFC25DF5"/>
    <w:rsid w:val="EFC66527"/>
    <w:rsid w:val="EFCF23D5"/>
    <w:rsid w:val="EFD43322"/>
    <w:rsid w:val="EFDA8566"/>
    <w:rsid w:val="EFDF61B7"/>
    <w:rsid w:val="EFE31DAB"/>
    <w:rsid w:val="EFE60B3C"/>
    <w:rsid w:val="EFE97F63"/>
    <w:rsid w:val="EFEA2F79"/>
    <w:rsid w:val="EFEE0940"/>
    <w:rsid w:val="EFEF4493"/>
    <w:rsid w:val="EFEFFEC8"/>
    <w:rsid w:val="EFF9B5C0"/>
    <w:rsid w:val="EFFB47CD"/>
    <w:rsid w:val="EFFBC17B"/>
    <w:rsid w:val="EFFBD9A3"/>
    <w:rsid w:val="EFFC8775"/>
    <w:rsid w:val="EFFD5DFB"/>
    <w:rsid w:val="EFFEABAD"/>
    <w:rsid w:val="EFFF495E"/>
    <w:rsid w:val="EFFF67DF"/>
    <w:rsid w:val="EFFF70E4"/>
    <w:rsid w:val="EFFF9751"/>
    <w:rsid w:val="EFFFE467"/>
    <w:rsid w:val="F069CBA2"/>
    <w:rsid w:val="F0E74468"/>
    <w:rsid w:val="F11F1F1A"/>
    <w:rsid w:val="F17913C3"/>
    <w:rsid w:val="F1BFA759"/>
    <w:rsid w:val="F1F5C849"/>
    <w:rsid w:val="F1FAA5B2"/>
    <w:rsid w:val="F1FFB367"/>
    <w:rsid w:val="F1FFFD29"/>
    <w:rsid w:val="F27E6A30"/>
    <w:rsid w:val="F2CECD37"/>
    <w:rsid w:val="F2CF0D84"/>
    <w:rsid w:val="F2CF76E5"/>
    <w:rsid w:val="F2E68C3E"/>
    <w:rsid w:val="F2E7B6AB"/>
    <w:rsid w:val="F2FE1BD4"/>
    <w:rsid w:val="F36C5DAC"/>
    <w:rsid w:val="F3BA1995"/>
    <w:rsid w:val="F3CDE7D2"/>
    <w:rsid w:val="F3DFA3DD"/>
    <w:rsid w:val="F3EE61A7"/>
    <w:rsid w:val="F3F6FDE9"/>
    <w:rsid w:val="F3F89A90"/>
    <w:rsid w:val="F48EE570"/>
    <w:rsid w:val="F4F31F0F"/>
    <w:rsid w:val="F4FF5D44"/>
    <w:rsid w:val="F4FFECF4"/>
    <w:rsid w:val="F50ADF92"/>
    <w:rsid w:val="F5384B7C"/>
    <w:rsid w:val="F55ED591"/>
    <w:rsid w:val="F58FB700"/>
    <w:rsid w:val="F5AEF6F2"/>
    <w:rsid w:val="F5D4A574"/>
    <w:rsid w:val="F5F63B9D"/>
    <w:rsid w:val="F5F978E8"/>
    <w:rsid w:val="F5FB8746"/>
    <w:rsid w:val="F5FF6A03"/>
    <w:rsid w:val="F5FFB004"/>
    <w:rsid w:val="F698D006"/>
    <w:rsid w:val="F6AF65F5"/>
    <w:rsid w:val="F6BECD28"/>
    <w:rsid w:val="F6ECC931"/>
    <w:rsid w:val="F6EF1652"/>
    <w:rsid w:val="F6EF2C9A"/>
    <w:rsid w:val="F6F525AD"/>
    <w:rsid w:val="F6F5C01C"/>
    <w:rsid w:val="F6FB645E"/>
    <w:rsid w:val="F75C44DA"/>
    <w:rsid w:val="F76E2E59"/>
    <w:rsid w:val="F77B391D"/>
    <w:rsid w:val="F7AB2482"/>
    <w:rsid w:val="F7AEF390"/>
    <w:rsid w:val="F7AF34F2"/>
    <w:rsid w:val="F7B72C68"/>
    <w:rsid w:val="F7BF0AF0"/>
    <w:rsid w:val="F7CB0A74"/>
    <w:rsid w:val="F7D7FB65"/>
    <w:rsid w:val="F7DBC46B"/>
    <w:rsid w:val="F7DE2A7D"/>
    <w:rsid w:val="F7DF9220"/>
    <w:rsid w:val="F7E31639"/>
    <w:rsid w:val="F7E9A052"/>
    <w:rsid w:val="F7EEC240"/>
    <w:rsid w:val="F7F7AD98"/>
    <w:rsid w:val="F7F7B131"/>
    <w:rsid w:val="F7FB75AF"/>
    <w:rsid w:val="F7FBA99D"/>
    <w:rsid w:val="F7FD4CAA"/>
    <w:rsid w:val="F7FDD4CF"/>
    <w:rsid w:val="F7FE7DEF"/>
    <w:rsid w:val="F7FF0654"/>
    <w:rsid w:val="F7FF6831"/>
    <w:rsid w:val="F7FF7D9E"/>
    <w:rsid w:val="F7FFCB46"/>
    <w:rsid w:val="F8FAEABF"/>
    <w:rsid w:val="F8FB3634"/>
    <w:rsid w:val="F937FC3F"/>
    <w:rsid w:val="F93C09DC"/>
    <w:rsid w:val="F96F3C45"/>
    <w:rsid w:val="F9BC0E82"/>
    <w:rsid w:val="F9D88A5D"/>
    <w:rsid w:val="F9EEB23C"/>
    <w:rsid w:val="F9F90E96"/>
    <w:rsid w:val="F9FAF831"/>
    <w:rsid w:val="F9FC1489"/>
    <w:rsid w:val="F9FF2C83"/>
    <w:rsid w:val="F9FFA93D"/>
    <w:rsid w:val="FA4FBE28"/>
    <w:rsid w:val="FA553DB6"/>
    <w:rsid w:val="FA7A0ABE"/>
    <w:rsid w:val="FA7A0FEE"/>
    <w:rsid w:val="FA7E5993"/>
    <w:rsid w:val="FA7F4EAA"/>
    <w:rsid w:val="FA7FAED9"/>
    <w:rsid w:val="FAAB540A"/>
    <w:rsid w:val="FABFC765"/>
    <w:rsid w:val="FADF5366"/>
    <w:rsid w:val="FAE569C8"/>
    <w:rsid w:val="FAE76B80"/>
    <w:rsid w:val="FAEE4F3D"/>
    <w:rsid w:val="FAEEDC55"/>
    <w:rsid w:val="FAEEF220"/>
    <w:rsid w:val="FAF4767B"/>
    <w:rsid w:val="FAF51F67"/>
    <w:rsid w:val="FAFF3810"/>
    <w:rsid w:val="FB2DB5EA"/>
    <w:rsid w:val="FB368A01"/>
    <w:rsid w:val="FB3F811B"/>
    <w:rsid w:val="FB5D5E32"/>
    <w:rsid w:val="FB7DEC29"/>
    <w:rsid w:val="FB7F4762"/>
    <w:rsid w:val="FB7F4A4A"/>
    <w:rsid w:val="FB7FED5F"/>
    <w:rsid w:val="FB9C3591"/>
    <w:rsid w:val="FBA6D904"/>
    <w:rsid w:val="FBAB7314"/>
    <w:rsid w:val="FBB76BD9"/>
    <w:rsid w:val="FBB7AEBC"/>
    <w:rsid w:val="FBBD5D79"/>
    <w:rsid w:val="FBBEE47A"/>
    <w:rsid w:val="FBBF9368"/>
    <w:rsid w:val="FBBFF831"/>
    <w:rsid w:val="FBD61967"/>
    <w:rsid w:val="FBD62B8E"/>
    <w:rsid w:val="FBD74453"/>
    <w:rsid w:val="FBDEC1D8"/>
    <w:rsid w:val="FBDF80C6"/>
    <w:rsid w:val="FBE7F221"/>
    <w:rsid w:val="FBE9388A"/>
    <w:rsid w:val="FBEDA0EA"/>
    <w:rsid w:val="FBEDDBAE"/>
    <w:rsid w:val="FBF75102"/>
    <w:rsid w:val="FBFD3586"/>
    <w:rsid w:val="FBFEF75A"/>
    <w:rsid w:val="FBFF1206"/>
    <w:rsid w:val="FBFF544E"/>
    <w:rsid w:val="FBFFF4FA"/>
    <w:rsid w:val="FC7FC40C"/>
    <w:rsid w:val="FC9D23AB"/>
    <w:rsid w:val="FCC3526E"/>
    <w:rsid w:val="FCD7946B"/>
    <w:rsid w:val="FCDD90EC"/>
    <w:rsid w:val="FCDF2CCA"/>
    <w:rsid w:val="FCE9368E"/>
    <w:rsid w:val="FCEA279B"/>
    <w:rsid w:val="FCEF9AB1"/>
    <w:rsid w:val="FCFD9875"/>
    <w:rsid w:val="FCFDAA5B"/>
    <w:rsid w:val="FCFDC991"/>
    <w:rsid w:val="FCFDF035"/>
    <w:rsid w:val="FCFE5044"/>
    <w:rsid w:val="FCFFA5C2"/>
    <w:rsid w:val="FD07DD0F"/>
    <w:rsid w:val="FD66C82F"/>
    <w:rsid w:val="FD7B2130"/>
    <w:rsid w:val="FD7B4ACD"/>
    <w:rsid w:val="FD7F9B27"/>
    <w:rsid w:val="FD8E2BFB"/>
    <w:rsid w:val="FD96EAA2"/>
    <w:rsid w:val="FD9EC05C"/>
    <w:rsid w:val="FD9FEFA3"/>
    <w:rsid w:val="FDAD39E3"/>
    <w:rsid w:val="FDAD98CA"/>
    <w:rsid w:val="FDB5D975"/>
    <w:rsid w:val="FDBB68AE"/>
    <w:rsid w:val="FDBDA65E"/>
    <w:rsid w:val="FDBF1C41"/>
    <w:rsid w:val="FDBFBFFF"/>
    <w:rsid w:val="FDDC5620"/>
    <w:rsid w:val="FDDF606C"/>
    <w:rsid w:val="FDDF622D"/>
    <w:rsid w:val="FDDFE326"/>
    <w:rsid w:val="FDE7CB42"/>
    <w:rsid w:val="FDEA4EE0"/>
    <w:rsid w:val="FDEA700A"/>
    <w:rsid w:val="FDED152F"/>
    <w:rsid w:val="FDEF45F8"/>
    <w:rsid w:val="FDEF5BCF"/>
    <w:rsid w:val="FDF3C14A"/>
    <w:rsid w:val="FDF58847"/>
    <w:rsid w:val="FDF66194"/>
    <w:rsid w:val="FDF7BDBE"/>
    <w:rsid w:val="FDF7C0D5"/>
    <w:rsid w:val="FDF95B71"/>
    <w:rsid w:val="FDF96EB8"/>
    <w:rsid w:val="FDFAC40C"/>
    <w:rsid w:val="FDFB35E3"/>
    <w:rsid w:val="FDFB9B63"/>
    <w:rsid w:val="FDFCC4EA"/>
    <w:rsid w:val="FDFD1BF0"/>
    <w:rsid w:val="FDFDD45B"/>
    <w:rsid w:val="FDFEAF5E"/>
    <w:rsid w:val="FDFEE9A6"/>
    <w:rsid w:val="FDFEF635"/>
    <w:rsid w:val="FDFF28B9"/>
    <w:rsid w:val="FDFF9EB1"/>
    <w:rsid w:val="FDFFE3B5"/>
    <w:rsid w:val="FDFFFED8"/>
    <w:rsid w:val="FE5E3C67"/>
    <w:rsid w:val="FE5F2684"/>
    <w:rsid w:val="FE72EE5A"/>
    <w:rsid w:val="FE771950"/>
    <w:rsid w:val="FE7BB972"/>
    <w:rsid w:val="FE7F484A"/>
    <w:rsid w:val="FE7FC3B6"/>
    <w:rsid w:val="FE8F6861"/>
    <w:rsid w:val="FE9DBB1F"/>
    <w:rsid w:val="FE9FA6BF"/>
    <w:rsid w:val="FEAA41CB"/>
    <w:rsid w:val="FEAF9E8D"/>
    <w:rsid w:val="FEBD7A9A"/>
    <w:rsid w:val="FEBFAAEA"/>
    <w:rsid w:val="FECD7AF7"/>
    <w:rsid w:val="FECE2819"/>
    <w:rsid w:val="FECFCB88"/>
    <w:rsid w:val="FED775FC"/>
    <w:rsid w:val="FEDE87BE"/>
    <w:rsid w:val="FEDFB3CD"/>
    <w:rsid w:val="FEED030B"/>
    <w:rsid w:val="FEEF39E8"/>
    <w:rsid w:val="FEF216E2"/>
    <w:rsid w:val="FEF3010E"/>
    <w:rsid w:val="FEF6746F"/>
    <w:rsid w:val="FEF7D666"/>
    <w:rsid w:val="FEFAD37F"/>
    <w:rsid w:val="FEFC2303"/>
    <w:rsid w:val="FEFD49BC"/>
    <w:rsid w:val="FEFF3DF1"/>
    <w:rsid w:val="FEFFA84F"/>
    <w:rsid w:val="FEFFD352"/>
    <w:rsid w:val="FF1BE49D"/>
    <w:rsid w:val="FF2D5CEF"/>
    <w:rsid w:val="FF361E96"/>
    <w:rsid w:val="FF3F220D"/>
    <w:rsid w:val="FF3F5C86"/>
    <w:rsid w:val="FF3FDE17"/>
    <w:rsid w:val="FF4E3ACA"/>
    <w:rsid w:val="FF4EEABD"/>
    <w:rsid w:val="FF5FBF48"/>
    <w:rsid w:val="FF67DB8E"/>
    <w:rsid w:val="FF6F6343"/>
    <w:rsid w:val="FF7188A7"/>
    <w:rsid w:val="FF77B4C1"/>
    <w:rsid w:val="FF7B04E7"/>
    <w:rsid w:val="FF7B96D3"/>
    <w:rsid w:val="FF7C5933"/>
    <w:rsid w:val="FF7E6927"/>
    <w:rsid w:val="FF7EA418"/>
    <w:rsid w:val="FF7EC472"/>
    <w:rsid w:val="FF7EEF71"/>
    <w:rsid w:val="FF949614"/>
    <w:rsid w:val="FF9DCB0D"/>
    <w:rsid w:val="FF9E26E4"/>
    <w:rsid w:val="FF9FF41E"/>
    <w:rsid w:val="FF9FFC52"/>
    <w:rsid w:val="FFA44204"/>
    <w:rsid w:val="FFA76FD7"/>
    <w:rsid w:val="FFA7DB6B"/>
    <w:rsid w:val="FFAB7CFA"/>
    <w:rsid w:val="FFB5108C"/>
    <w:rsid w:val="FFB775A8"/>
    <w:rsid w:val="FFB978D4"/>
    <w:rsid w:val="FFBA09B0"/>
    <w:rsid w:val="FFBABD66"/>
    <w:rsid w:val="FFBDF17E"/>
    <w:rsid w:val="FFBEAFC7"/>
    <w:rsid w:val="FFBED655"/>
    <w:rsid w:val="FFBF3990"/>
    <w:rsid w:val="FFBF6F85"/>
    <w:rsid w:val="FFBF717B"/>
    <w:rsid w:val="FFBF9D7F"/>
    <w:rsid w:val="FFBFB4D2"/>
    <w:rsid w:val="FFBFCE42"/>
    <w:rsid w:val="FFBFD93C"/>
    <w:rsid w:val="FFCB9588"/>
    <w:rsid w:val="FFCDA780"/>
    <w:rsid w:val="FFD1F655"/>
    <w:rsid w:val="FFD377E3"/>
    <w:rsid w:val="FFD68D04"/>
    <w:rsid w:val="FFD7A8EB"/>
    <w:rsid w:val="FFD99B65"/>
    <w:rsid w:val="FFDAE68A"/>
    <w:rsid w:val="FFDD79BF"/>
    <w:rsid w:val="FFDEB11C"/>
    <w:rsid w:val="FFDEE42C"/>
    <w:rsid w:val="FFDF0EFF"/>
    <w:rsid w:val="FFDF64F0"/>
    <w:rsid w:val="FFE77FB8"/>
    <w:rsid w:val="FFEB1B78"/>
    <w:rsid w:val="FFEB2E91"/>
    <w:rsid w:val="FFEB3CD1"/>
    <w:rsid w:val="FFEDB635"/>
    <w:rsid w:val="FFEDC46B"/>
    <w:rsid w:val="FFEEE9F9"/>
    <w:rsid w:val="FFEF31CD"/>
    <w:rsid w:val="FFEF46A9"/>
    <w:rsid w:val="FFEF5042"/>
    <w:rsid w:val="FFEF5082"/>
    <w:rsid w:val="FFEF7D53"/>
    <w:rsid w:val="FFEF9319"/>
    <w:rsid w:val="FFEFD6BD"/>
    <w:rsid w:val="FFF53873"/>
    <w:rsid w:val="FFF554AC"/>
    <w:rsid w:val="FFF57D36"/>
    <w:rsid w:val="FFF57DED"/>
    <w:rsid w:val="FFF63A40"/>
    <w:rsid w:val="FFF70D16"/>
    <w:rsid w:val="FFF7297C"/>
    <w:rsid w:val="FFF7BA44"/>
    <w:rsid w:val="FFF7C6CE"/>
    <w:rsid w:val="FFF9E3D4"/>
    <w:rsid w:val="FFFB01C8"/>
    <w:rsid w:val="FFFC93D4"/>
    <w:rsid w:val="FFFE100C"/>
    <w:rsid w:val="FFFE3D91"/>
    <w:rsid w:val="FFFEFDC2"/>
    <w:rsid w:val="FFFF20FD"/>
    <w:rsid w:val="FFFF27C6"/>
    <w:rsid w:val="FFFF52C6"/>
    <w:rsid w:val="FFFF91F2"/>
    <w:rsid w:val="FFFF96CA"/>
    <w:rsid w:val="FFFFB0C7"/>
    <w:rsid w:val="FFFFBFF2"/>
    <w:rsid w:val="FFFFC0DE"/>
    <w:rsid w:val="FFFFEE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260" w:after="220"/>
      <w:ind w:firstLine="0" w:firstLineChars="0"/>
      <w:jc w:val="center"/>
      <w:outlineLvl w:val="0"/>
    </w:pPr>
    <w:rPr>
      <w:kern w:val="44"/>
      <w:sz w:val="28"/>
    </w:rPr>
  </w:style>
  <w:style w:type="paragraph" w:styleId="3">
    <w:name w:val="heading 2"/>
    <w:basedOn w:val="1"/>
    <w:next w:val="1"/>
    <w:unhideWhenUsed/>
    <w:qFormat/>
    <w:uiPriority w:val="0"/>
    <w:pPr>
      <w:keepNext/>
      <w:keepLines/>
      <w:spacing w:before="260" w:after="200"/>
      <w:outlineLvl w:val="1"/>
    </w:pPr>
    <w:rPr>
      <w:rFonts w:ascii="Arial" w:hAnsi="Arial"/>
      <w:b/>
      <w:sz w:val="32"/>
    </w:rPr>
  </w:style>
  <w:style w:type="paragraph" w:styleId="4">
    <w:name w:val="heading 3"/>
    <w:basedOn w:val="1"/>
    <w:next w:val="1"/>
    <w:unhideWhenUsed/>
    <w:qFormat/>
    <w:uiPriority w:val="0"/>
    <w:pPr>
      <w:keepNext/>
      <w:keepLines/>
      <w:ind w:firstLine="200"/>
      <w:outlineLvl w:val="2"/>
    </w:pPr>
  </w:style>
  <w:style w:type="paragraph" w:styleId="5">
    <w:name w:val="heading 4"/>
    <w:basedOn w:val="1"/>
    <w:next w:val="1"/>
    <w:unhideWhenUsed/>
    <w:qFormat/>
    <w:uiPriority w:val="0"/>
    <w:pPr>
      <w:keepNext/>
      <w:keepLines/>
      <w:spacing w:before="240" w:after="160"/>
      <w:jc w:val="center"/>
      <w:outlineLvl w:val="3"/>
    </w:pPr>
    <w:rPr>
      <w:rFonts w:eastAsia="黑体"/>
      <w:sz w:val="18"/>
    </w:rPr>
  </w:style>
  <w:style w:type="paragraph" w:styleId="6">
    <w:name w:val="heading 5"/>
    <w:basedOn w:val="1"/>
    <w:next w:val="1"/>
    <w:unhideWhenUsed/>
    <w:qFormat/>
    <w:uiPriority w:val="0"/>
    <w:pPr>
      <w:keepNext/>
      <w:keepLines/>
      <w:spacing w:before="240" w:after="160"/>
      <w:outlineLvl w:val="4"/>
    </w:pPr>
    <w:rPr>
      <w:rFonts w:ascii="Arial" w:hAnsi="Arial"/>
      <w:b/>
      <w:sz w:val="28"/>
    </w:rPr>
  </w:style>
  <w:style w:type="paragraph" w:styleId="7">
    <w:name w:val="heading 6"/>
    <w:basedOn w:val="1"/>
    <w:next w:val="1"/>
    <w:unhideWhenUsed/>
    <w:qFormat/>
    <w:uiPriority w:val="0"/>
    <w:pPr>
      <w:keepNext/>
      <w:keepLines/>
      <w:spacing w:before="240" w:after="120"/>
      <w:outlineLvl w:val="5"/>
    </w:pPr>
    <w:rPr>
      <w:rFonts w:ascii="Arial" w:hAnsi="Arial"/>
      <w:b/>
      <w:sz w:val="24"/>
    </w:rPr>
  </w:style>
  <w:style w:type="paragraph" w:styleId="8">
    <w:name w:val="heading 7"/>
    <w:basedOn w:val="1"/>
    <w:next w:val="1"/>
    <w:unhideWhenUsed/>
    <w:qFormat/>
    <w:uiPriority w:val="0"/>
    <w:pPr>
      <w:keepNext/>
      <w:keepLines/>
      <w:spacing w:before="240" w:after="120"/>
      <w:outlineLvl w:val="6"/>
    </w:pPr>
    <w:rPr>
      <w:rFonts w:ascii="Arial" w:hAnsi="Arial"/>
      <w:b/>
      <w:sz w:val="24"/>
    </w:rPr>
  </w:style>
  <w:style w:type="paragraph" w:styleId="9">
    <w:name w:val="heading 8"/>
    <w:basedOn w:val="1"/>
    <w:next w:val="1"/>
    <w:unhideWhenUsed/>
    <w:qFormat/>
    <w:uiPriority w:val="0"/>
    <w:pPr>
      <w:keepNext/>
      <w:keepLines/>
      <w:spacing w:before="180" w:after="64"/>
      <w:outlineLvl w:val="7"/>
    </w:pPr>
    <w:rPr>
      <w:rFonts w:ascii="Arial" w:hAnsi="Arial"/>
      <w:sz w:val="24"/>
    </w:rPr>
  </w:style>
  <w:style w:type="paragraph" w:styleId="10">
    <w:name w:val="heading 9"/>
    <w:basedOn w:val="1"/>
    <w:next w:val="1"/>
    <w:unhideWhenUsed/>
    <w:qFormat/>
    <w:uiPriority w:val="0"/>
    <w:pPr>
      <w:keepNext/>
      <w:keepLines/>
      <w:spacing w:before="180" w:after="64"/>
      <w:jc w:val="left"/>
      <w:outlineLvl w:val="8"/>
    </w:pPr>
    <w:rPr>
      <w:sz w:val="1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29"/>
    <w:qFormat/>
    <w:uiPriority w:val="0"/>
    <w:pPr>
      <w:jc w:val="left"/>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Subtitle"/>
    <w:basedOn w:val="1"/>
    <w:next w:val="1"/>
    <w:link w:val="42"/>
    <w:qFormat/>
    <w:uiPriority w:val="0"/>
    <w:pPr>
      <w:spacing w:before="240" w:after="60" w:line="312" w:lineRule="auto"/>
      <w:jc w:val="left"/>
      <w:outlineLvl w:val="1"/>
    </w:pPr>
    <w:rPr>
      <w:rFonts w:cstheme="minorBidi"/>
      <w:bCs/>
      <w:kern w:val="28"/>
      <w:sz w:val="18"/>
      <w:szCs w:val="32"/>
    </w:rPr>
  </w:style>
  <w:style w:type="paragraph" w:styleId="15">
    <w:name w:val="footnote text"/>
    <w:basedOn w:val="1"/>
    <w:link w:val="27"/>
    <w:qFormat/>
    <w:uiPriority w:val="0"/>
    <w:pPr>
      <w:snapToGrid w:val="0"/>
      <w:jc w:val="left"/>
    </w:pPr>
    <w:rPr>
      <w:sz w:val="18"/>
      <w:szCs w:val="18"/>
    </w:rPr>
  </w:style>
  <w:style w:type="paragraph" w:styleId="16">
    <w:name w:val="Title"/>
    <w:basedOn w:val="1"/>
    <w:next w:val="1"/>
    <w:link w:val="28"/>
    <w:qFormat/>
    <w:uiPriority w:val="0"/>
    <w:pPr>
      <w:spacing w:before="240" w:after="60"/>
      <w:ind w:firstLine="640" w:firstLineChars="0"/>
      <w:jc w:val="center"/>
      <w:outlineLvl w:val="0"/>
    </w:pPr>
    <w:rPr>
      <w:rFonts w:cstheme="majorBidi"/>
      <w:bCs/>
      <w:sz w:val="32"/>
      <w:szCs w:val="32"/>
    </w:rPr>
  </w:style>
  <w:style w:type="paragraph" w:styleId="17">
    <w:name w:val="annotation subject"/>
    <w:basedOn w:val="11"/>
    <w:next w:val="11"/>
    <w:link w:val="30"/>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qFormat/>
    <w:uiPriority w:val="0"/>
    <w:rPr>
      <w:color w:val="0000FF"/>
      <w:u w:val="single"/>
    </w:rPr>
  </w:style>
  <w:style w:type="character" w:styleId="22">
    <w:name w:val="annotation reference"/>
    <w:basedOn w:val="20"/>
    <w:qFormat/>
    <w:uiPriority w:val="0"/>
    <w:rPr>
      <w:sz w:val="21"/>
      <w:szCs w:val="21"/>
    </w:rPr>
  </w:style>
  <w:style w:type="character" w:styleId="23">
    <w:name w:val="footnote reference"/>
    <w:basedOn w:val="20"/>
    <w:qFormat/>
    <w:uiPriority w:val="0"/>
    <w:rPr>
      <w:vertAlign w:val="superscript"/>
    </w:rPr>
  </w:style>
  <w:style w:type="paragraph" w:customStyle="1" w:styleId="24">
    <w:name w:val="Body text|2"/>
    <w:basedOn w:val="1"/>
    <w:qFormat/>
    <w:uiPriority w:val="0"/>
    <w:pPr>
      <w:spacing w:after="260"/>
      <w:ind w:firstLine="700"/>
    </w:pPr>
  </w:style>
  <w:style w:type="paragraph" w:customStyle="1" w:styleId="25">
    <w:name w:val="Body text|1"/>
    <w:basedOn w:val="1"/>
    <w:qFormat/>
    <w:uiPriority w:val="0"/>
    <w:pPr>
      <w:spacing w:line="252" w:lineRule="auto"/>
      <w:ind w:firstLine="220"/>
    </w:pPr>
    <w:rPr>
      <w:sz w:val="20"/>
      <w:szCs w:val="20"/>
    </w:rPr>
  </w:style>
  <w:style w:type="paragraph" w:customStyle="1" w:styleId="26">
    <w:name w:val="修订1"/>
    <w:hidden/>
    <w:semiHidden/>
    <w:qFormat/>
    <w:uiPriority w:val="99"/>
    <w:rPr>
      <w:rFonts w:ascii="Arial" w:hAnsi="Arial" w:eastAsia="微软雅黑" w:cs="Times New Roman"/>
      <w:kern w:val="2"/>
      <w:sz w:val="21"/>
      <w:szCs w:val="24"/>
      <w:lang w:val="en-US" w:eastAsia="zh-CN" w:bidi="ar-SA"/>
    </w:rPr>
  </w:style>
  <w:style w:type="character" w:customStyle="1" w:styleId="27">
    <w:name w:val="脚注文本 字符"/>
    <w:basedOn w:val="20"/>
    <w:link w:val="15"/>
    <w:qFormat/>
    <w:uiPriority w:val="0"/>
    <w:rPr>
      <w:rFonts w:ascii="Arial" w:hAnsi="Arial" w:eastAsia="微软雅黑"/>
      <w:kern w:val="2"/>
      <w:sz w:val="18"/>
      <w:szCs w:val="18"/>
    </w:rPr>
  </w:style>
  <w:style w:type="character" w:customStyle="1" w:styleId="28">
    <w:name w:val="标题 字符"/>
    <w:basedOn w:val="20"/>
    <w:link w:val="16"/>
    <w:qFormat/>
    <w:uiPriority w:val="0"/>
    <w:rPr>
      <w:rFonts w:cstheme="majorBidi"/>
      <w:bCs/>
      <w:kern w:val="2"/>
      <w:sz w:val="32"/>
      <w:szCs w:val="32"/>
    </w:rPr>
  </w:style>
  <w:style w:type="character" w:customStyle="1" w:styleId="29">
    <w:name w:val="批注文字 字符"/>
    <w:basedOn w:val="20"/>
    <w:link w:val="11"/>
    <w:qFormat/>
    <w:uiPriority w:val="0"/>
    <w:rPr>
      <w:rFonts w:ascii="Arial" w:hAnsi="Arial" w:eastAsia="微软雅黑"/>
      <w:kern w:val="2"/>
      <w:sz w:val="21"/>
      <w:szCs w:val="24"/>
    </w:rPr>
  </w:style>
  <w:style w:type="character" w:customStyle="1" w:styleId="30">
    <w:name w:val="批注主题 字符"/>
    <w:basedOn w:val="29"/>
    <w:link w:val="17"/>
    <w:qFormat/>
    <w:uiPriority w:val="0"/>
    <w:rPr>
      <w:rFonts w:ascii="Arial" w:hAnsi="Arial" w:eastAsia="微软雅黑"/>
      <w:b/>
      <w:bCs/>
      <w:kern w:val="2"/>
      <w:sz w:val="21"/>
      <w:szCs w:val="24"/>
    </w:rPr>
  </w:style>
  <w:style w:type="paragraph" w:styleId="31">
    <w:name w:val="List Paragraph"/>
    <w:basedOn w:val="1"/>
    <w:qFormat/>
    <w:uiPriority w:val="99"/>
  </w:style>
  <w:style w:type="paragraph" w:customStyle="1" w:styleId="32">
    <w:name w:val="EndNote Bibliography Title"/>
    <w:basedOn w:val="1"/>
    <w:link w:val="33"/>
    <w:qFormat/>
    <w:uiPriority w:val="0"/>
    <w:pPr>
      <w:jc w:val="center"/>
    </w:pPr>
    <w:rPr>
      <w:sz w:val="20"/>
    </w:rPr>
  </w:style>
  <w:style w:type="character" w:customStyle="1" w:styleId="33">
    <w:name w:val="EndNote Bibliography Title 字符"/>
    <w:basedOn w:val="20"/>
    <w:link w:val="32"/>
    <w:qFormat/>
    <w:uiPriority w:val="0"/>
    <w:rPr>
      <w:kern w:val="2"/>
      <w:szCs w:val="24"/>
    </w:rPr>
  </w:style>
  <w:style w:type="paragraph" w:customStyle="1" w:styleId="34">
    <w:name w:val="EndNote Bibliography"/>
    <w:basedOn w:val="1"/>
    <w:link w:val="35"/>
    <w:qFormat/>
    <w:uiPriority w:val="0"/>
    <w:rPr>
      <w:sz w:val="20"/>
    </w:rPr>
  </w:style>
  <w:style w:type="character" w:customStyle="1" w:styleId="35">
    <w:name w:val="EndNote Bibliography 字符"/>
    <w:basedOn w:val="20"/>
    <w:link w:val="34"/>
    <w:qFormat/>
    <w:uiPriority w:val="0"/>
    <w:rPr>
      <w:kern w:val="2"/>
      <w:szCs w:val="24"/>
    </w:rPr>
  </w:style>
  <w:style w:type="character" w:customStyle="1" w:styleId="36">
    <w:name w:val="未处理的提及1"/>
    <w:basedOn w:val="20"/>
    <w:semiHidden/>
    <w:unhideWhenUsed/>
    <w:qFormat/>
    <w:uiPriority w:val="99"/>
    <w:rPr>
      <w:color w:val="605E5C"/>
      <w:shd w:val="clear" w:color="auto" w:fill="E1DFDD"/>
    </w:rPr>
  </w:style>
  <w:style w:type="character" w:customStyle="1" w:styleId="37">
    <w:name w:val="不明显强调1"/>
    <w:basedOn w:val="20"/>
    <w:qFormat/>
    <w:uiPriority w:val="19"/>
    <w:rPr>
      <w:i/>
      <w:iCs/>
      <w:color w:val="404040" w:themeColor="text1" w:themeTint="BF"/>
      <w14:textFill>
        <w14:solidFill>
          <w14:schemeClr w14:val="tx1">
            <w14:lumMod w14:val="75000"/>
            <w14:lumOff w14:val="25000"/>
          </w14:schemeClr>
        </w14:solidFill>
      </w14:textFill>
    </w:rPr>
  </w:style>
  <w:style w:type="character" w:customStyle="1" w:styleId="38">
    <w:name w:val="明显强调1"/>
    <w:basedOn w:val="20"/>
    <w:qFormat/>
    <w:uiPriority w:val="21"/>
    <w:rPr>
      <w:i/>
      <w:iCs/>
      <w:color w:val="5B9BD5" w:themeColor="accent1"/>
      <w14:textFill>
        <w14:solidFill>
          <w14:schemeClr w14:val="accent1"/>
        </w14:solidFill>
      </w14:textFill>
    </w:rPr>
  </w:style>
  <w:style w:type="character" w:customStyle="1" w:styleId="39">
    <w:name w:val="不明显参考1"/>
    <w:basedOn w:val="20"/>
    <w:qFormat/>
    <w:uiPriority w:val="31"/>
    <w:rPr>
      <w:smallCaps/>
      <w:color w:val="595959" w:themeColor="text1" w:themeTint="A6"/>
      <w14:textFill>
        <w14:solidFill>
          <w14:schemeClr w14:val="tx1">
            <w14:lumMod w14:val="65000"/>
            <w14:lumOff w14:val="35000"/>
          </w14:schemeClr>
        </w14:solidFill>
      </w14:textFill>
    </w:rPr>
  </w:style>
  <w:style w:type="character" w:customStyle="1" w:styleId="40">
    <w:name w:val="明显参考1"/>
    <w:basedOn w:val="20"/>
    <w:qFormat/>
    <w:uiPriority w:val="32"/>
    <w:rPr>
      <w:b/>
      <w:bCs/>
      <w:smallCaps/>
      <w:color w:val="5B9BD5" w:themeColor="accent1"/>
      <w:spacing w:val="5"/>
      <w14:textFill>
        <w14:solidFill>
          <w14:schemeClr w14:val="accent1"/>
        </w14:solidFill>
      </w14:textFill>
    </w:rPr>
  </w:style>
  <w:style w:type="character" w:customStyle="1" w:styleId="41">
    <w:name w:val="书籍标题1"/>
    <w:basedOn w:val="20"/>
    <w:qFormat/>
    <w:uiPriority w:val="33"/>
    <w:rPr>
      <w:b/>
      <w:bCs/>
      <w:i/>
      <w:iCs/>
      <w:spacing w:val="5"/>
    </w:rPr>
  </w:style>
  <w:style w:type="character" w:customStyle="1" w:styleId="42">
    <w:name w:val="副标题 字符"/>
    <w:basedOn w:val="20"/>
    <w:link w:val="14"/>
    <w:qFormat/>
    <w:uiPriority w:val="0"/>
    <w:rPr>
      <w:rFonts w:cstheme="minorBidi"/>
      <w:bCs/>
      <w:kern w:val="28"/>
      <w:sz w:val="18"/>
      <w:szCs w:val="32"/>
    </w:rPr>
  </w:style>
  <w:style w:type="character" w:customStyle="1" w:styleId="43">
    <w:name w:val="书籍标题11"/>
    <w:basedOn w:val="20"/>
    <w:qFormat/>
    <w:uiPriority w:val="33"/>
    <w:rPr>
      <w:b/>
      <w:bCs/>
      <w:i/>
      <w:iCs/>
      <w:spacing w:val="5"/>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7.jpeg"/><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36</Pages>
  <Words>32359</Words>
  <Characters>38037</Characters>
  <Lines>480</Lines>
  <Paragraphs>135</Paragraphs>
  <TotalTime>13</TotalTime>
  <ScaleCrop>false</ScaleCrop>
  <LinksUpToDate>false</LinksUpToDate>
  <CharactersWithSpaces>39039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2023-04-24T07:26:00Z</dcterms:created>
  <dc:creator>wang</dc:creator>
  <cp:lastModifiedBy>秋空霁海</cp:lastModifiedBy>
  <cp:lastPrinted>2023-04-23T09:23:00Z</cp:lastPrinted>
  <dcterms:modified xsi:type="dcterms:W3CDTF">2023-05-02T06:52:08Z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0E1D63A19E83422DB1885625D6A9C400_13</vt:lpwstr>
  </property>
  <property fmtid="{D5CDD505-2E9C-101B-9397-08002B2CF9AE}" pid="6" name="commondata">
    <vt:lpwstr>eyJoZGlkIjoiZGJjMzVmMTRjMTEyY2Y5MWE2OTA1YzY4NjQ3YWQ5NGQifQ==</vt:lpwstr>
  </property>
</Properties>
</file>