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30" w:firstLineChars="1300"/>
        <w:jc w:val="both"/>
        <w:rPr>
          <w:rFonts w:hint="default" w:eastAsia="宋体"/>
          <w:lang w:val="en-US" w:eastAsia="zh-CN"/>
        </w:rPr>
      </w:pPr>
      <w:bookmarkStart w:id="0" w:name="_Hlk125114517"/>
      <w:bookmarkStart w:id="1" w:name="_Hlk125114476"/>
      <w:r>
        <w:rPr>
          <w:rFonts w:hint="eastAsia"/>
        </w:rPr>
        <w:t>作者信息</w:t>
      </w:r>
      <w:r>
        <w:rPr>
          <w:rFonts w:hint="eastAsia"/>
          <w:lang w:val="en-US" w:eastAsia="zh-CN"/>
        </w:rPr>
        <w:t>和论文概要</w:t>
      </w:r>
    </w:p>
    <w:p>
      <w:pPr>
        <w:ind w:left="0" w:leftChars="0" w:firstLine="422" w:firstLineChars="200"/>
        <w:rPr>
          <w:rFonts w:hint="eastAsia" w:asciiTheme="minorEastAsia" w:hAnsiTheme="minorEastAsia" w:eastAsiaTheme="minorEastAsia" w:cstheme="minorEastAsia"/>
          <w:b/>
          <w:bCs/>
          <w:sz w:val="21"/>
          <w:szCs w:val="21"/>
          <w:lang w:val="en-US" w:eastAsia="zh-CN"/>
        </w:rPr>
      </w:pPr>
    </w:p>
    <w:p>
      <w:pPr>
        <w:ind w:left="0" w:leftChars="0" w:firstLine="422"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作者信息</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汪思波，1981-1986年清华大学工程物理系反应堆工程专业本科</w:t>
      </w:r>
      <w:r>
        <w:rPr>
          <w:rFonts w:hint="eastAsia" w:asciiTheme="minorEastAsia" w:hAnsiTheme="minorEastAsia" w:eastAsiaTheme="minorEastAsia" w:cstheme="minorEastAsia"/>
          <w:sz w:val="21"/>
          <w:szCs w:val="21"/>
          <w:lang w:val="en-US" w:eastAsia="zh-CN"/>
        </w:rPr>
        <w:t>生</w:t>
      </w:r>
      <w:r>
        <w:rPr>
          <w:rFonts w:hint="eastAsia" w:asciiTheme="minorEastAsia" w:hAnsiTheme="minorEastAsia" w:eastAsiaTheme="minorEastAsia" w:cstheme="minorEastAsia"/>
          <w:sz w:val="21"/>
          <w:szCs w:val="21"/>
        </w:rPr>
        <w:t>，1986-1989年清华大学核能技术研究院管理工程</w:t>
      </w:r>
      <w:r>
        <w:rPr>
          <w:rFonts w:hint="eastAsia" w:asciiTheme="minorEastAsia" w:hAnsiTheme="minorEastAsia" w:eastAsiaTheme="minorEastAsia" w:cstheme="minorEastAsia"/>
          <w:sz w:val="21"/>
          <w:szCs w:val="21"/>
          <w:lang w:val="en-US" w:eastAsia="zh-CN"/>
        </w:rPr>
        <w:t>专业</w:t>
      </w:r>
      <w:r>
        <w:rPr>
          <w:rFonts w:hint="eastAsia" w:asciiTheme="minorEastAsia" w:hAnsiTheme="minorEastAsia" w:eastAsiaTheme="minorEastAsia" w:cstheme="minorEastAsia"/>
          <w:sz w:val="21"/>
          <w:szCs w:val="21"/>
        </w:rPr>
        <w:t>硕士研究生，2002年2月-2003年4月UC Berkeley Extension 国际金融课程。现任深圳市卓尔信投资管理有限公司总经理。电邮：wangsb98@21cn.com，手机13922863683，住址：深圳市龙华区玉龙路圣莫丽斯</w:t>
      </w:r>
    </w:p>
    <w:p>
      <w:pPr>
        <w:ind w:left="0" w:leftChars="0" w:firstLine="0" w:firstLineChars="0"/>
        <w:rPr>
          <w:rFonts w:hint="eastAsia" w:cs="宋体"/>
          <w:color w:val="000000"/>
          <w:kern w:val="0"/>
          <w:szCs w:val="21"/>
          <w:lang w:val="en-US" w:eastAsia="zh-CN"/>
        </w:rPr>
      </w:pPr>
      <w:r>
        <w:rPr>
          <w:rFonts w:hint="eastAsia" w:cs="宋体"/>
          <w:color w:val="000000"/>
          <w:kern w:val="0"/>
          <w:sz w:val="28"/>
          <w:szCs w:val="28"/>
          <w:lang w:val="en-US" w:eastAsia="zh-CN"/>
        </w:rPr>
        <w:t xml:space="preserve">   </w:t>
      </w:r>
      <w:r>
        <w:rPr>
          <w:rFonts w:hint="eastAsia" w:cs="宋体"/>
          <w:b/>
          <w:bCs/>
          <w:color w:val="000000"/>
          <w:kern w:val="0"/>
          <w:szCs w:val="21"/>
          <w:lang w:val="en-US" w:eastAsia="zh-CN"/>
        </w:rPr>
        <w:t>方法论说明：</w:t>
      </w:r>
      <w:r>
        <w:rPr>
          <w:rFonts w:hint="eastAsia" w:cs="宋体"/>
          <w:color w:val="000000"/>
          <w:kern w:val="0"/>
          <w:szCs w:val="21"/>
          <w:lang w:val="en-US" w:eastAsia="zh-CN"/>
        </w:rPr>
        <w:t>本文从数学化科学方法论的视角对主流经济理论的思想和数学模型做了深入分析，指出其逻辑缺陷或假设过强，提出改进的关于市场经济的基本规律假设，提出新的宏观经济理论数学模型。由于本文有很多创新，特别是方法论创新，因此特做方法论说明。</w:t>
      </w:r>
    </w:p>
    <w:p>
      <w:pPr>
        <w:numPr>
          <w:ilvl w:val="0"/>
          <w:numId w:val="0"/>
        </w:numPr>
        <w:ind w:firstLine="420" w:firstLineChars="200"/>
        <w:rPr>
          <w:rFonts w:hint="default" w:cs="宋体"/>
          <w:color w:val="000000"/>
          <w:kern w:val="0"/>
          <w:szCs w:val="21"/>
          <w:lang w:eastAsia="zh-CN"/>
        </w:rPr>
      </w:pPr>
      <w:r>
        <w:rPr>
          <w:rFonts w:hint="eastAsia" w:cs="宋体"/>
          <w:color w:val="000000"/>
          <w:kern w:val="0"/>
          <w:szCs w:val="21"/>
          <w:lang w:val="en-US" w:eastAsia="zh-CN"/>
        </w:rPr>
        <w:t>1，经济思想</w:t>
      </w:r>
      <w:r>
        <w:rPr>
          <w:rFonts w:hint="default" w:cs="宋体"/>
          <w:color w:val="000000"/>
          <w:kern w:val="0"/>
          <w:szCs w:val="21"/>
          <w:lang w:eastAsia="zh-CN"/>
        </w:rPr>
        <w:t>与数学模型</w:t>
      </w:r>
    </w:p>
    <w:p>
      <w:pPr>
        <w:numPr>
          <w:ilvl w:val="0"/>
          <w:numId w:val="0"/>
        </w:numPr>
        <w:ind w:firstLine="420" w:firstLineChars="200"/>
        <w:rPr>
          <w:rFonts w:hint="eastAsia" w:cs="宋体"/>
          <w:color w:val="000000"/>
          <w:kern w:val="0"/>
          <w:szCs w:val="21"/>
          <w:lang w:eastAsia="zh-CN"/>
        </w:rPr>
      </w:pPr>
      <w:r>
        <w:rPr>
          <w:rFonts w:hint="eastAsia" w:cs="宋体"/>
          <w:color w:val="000000"/>
          <w:kern w:val="0"/>
          <w:szCs w:val="21"/>
          <w:lang w:val="en-US" w:eastAsia="zh-CN"/>
        </w:rPr>
        <w:t>经济理论分两类，一类是经济思想，一类是数学模型。亚当斯密的《国富论》和凯恩斯的《通论》</w:t>
      </w:r>
      <w:r>
        <w:rPr>
          <w:rFonts w:hint="default" w:cs="宋体"/>
          <w:color w:val="000000"/>
          <w:kern w:val="0"/>
          <w:szCs w:val="21"/>
          <w:lang w:eastAsia="zh-CN"/>
        </w:rPr>
        <w:t>属于经济思想</w:t>
      </w:r>
      <w:r>
        <w:rPr>
          <w:rFonts w:hint="eastAsia" w:cs="宋体"/>
          <w:color w:val="000000"/>
          <w:kern w:val="0"/>
          <w:szCs w:val="21"/>
          <w:lang w:eastAsia="zh-CN"/>
        </w:rPr>
        <w:t>。</w:t>
      </w:r>
    </w:p>
    <w:p>
      <w:pPr>
        <w:numPr>
          <w:ilvl w:val="0"/>
          <w:numId w:val="0"/>
        </w:numPr>
        <w:ind w:firstLine="420" w:firstLineChars="200"/>
        <w:rPr>
          <w:rFonts w:hint="eastAsia" w:cs="宋体"/>
          <w:color w:val="000000"/>
          <w:kern w:val="0"/>
          <w:szCs w:val="21"/>
          <w:lang w:val="en-US" w:eastAsia="zh-CN"/>
        </w:rPr>
      </w:pPr>
      <w:r>
        <w:rPr>
          <w:rFonts w:hint="eastAsia" w:cs="宋体"/>
          <w:color w:val="000000"/>
          <w:kern w:val="0"/>
          <w:szCs w:val="21"/>
          <w:lang w:val="en-US" w:eastAsia="zh-CN"/>
        </w:rPr>
        <w:t>在经济思想著作或论文里，</w:t>
      </w:r>
      <w:r>
        <w:rPr>
          <w:rFonts w:hint="default" w:cs="宋体"/>
          <w:color w:val="000000"/>
          <w:kern w:val="0"/>
          <w:szCs w:val="21"/>
          <w:lang w:eastAsia="zh-CN"/>
        </w:rPr>
        <w:t>学</w:t>
      </w:r>
      <w:r>
        <w:rPr>
          <w:rFonts w:hint="eastAsia" w:cs="宋体"/>
          <w:color w:val="000000"/>
          <w:kern w:val="0"/>
          <w:szCs w:val="21"/>
          <w:lang w:val="en-US" w:eastAsia="zh-CN"/>
        </w:rPr>
        <w:t>者根据自己对经济活动的观察和理解，提出关于经济活动</w:t>
      </w:r>
      <w:r>
        <w:rPr>
          <w:rFonts w:hint="default" w:cs="宋体"/>
          <w:color w:val="000000"/>
          <w:kern w:val="0"/>
          <w:szCs w:val="21"/>
          <w:lang w:eastAsia="zh-CN"/>
        </w:rPr>
        <w:t>规律的认知。比如</w:t>
      </w:r>
      <w:r>
        <w:rPr>
          <w:rFonts w:hint="eastAsia" w:cs="宋体"/>
          <w:color w:val="000000"/>
          <w:kern w:val="0"/>
          <w:szCs w:val="21"/>
          <w:lang w:val="en-US" w:eastAsia="zh-CN"/>
        </w:rPr>
        <w:t>《国富论》</w:t>
      </w:r>
      <w:r>
        <w:rPr>
          <w:rFonts w:hint="default" w:cs="宋体"/>
          <w:color w:val="000000"/>
          <w:kern w:val="0"/>
          <w:szCs w:val="21"/>
          <w:lang w:eastAsia="zh-CN"/>
        </w:rPr>
        <w:t>亚当斯密</w:t>
      </w:r>
      <w:r>
        <w:rPr>
          <w:rFonts w:hint="eastAsia" w:cs="宋体"/>
          <w:color w:val="000000"/>
          <w:kern w:val="0"/>
          <w:szCs w:val="21"/>
          <w:lang w:val="en-US" w:eastAsia="zh-CN"/>
        </w:rPr>
        <w:t>关于经济活动</w:t>
      </w:r>
      <w:r>
        <w:rPr>
          <w:rFonts w:hint="default" w:cs="宋体"/>
          <w:color w:val="000000"/>
          <w:kern w:val="0"/>
          <w:szCs w:val="21"/>
          <w:lang w:eastAsia="zh-CN"/>
        </w:rPr>
        <w:t>规律的认知是：</w:t>
      </w:r>
      <w:r>
        <w:rPr>
          <w:rFonts w:hint="eastAsia" w:cs="宋体"/>
          <w:color w:val="000000"/>
          <w:kern w:val="0"/>
          <w:szCs w:val="21"/>
          <w:lang w:val="en-US" w:eastAsia="zh-CN"/>
        </w:rPr>
        <w:t>在简单政府的经济体系里，通过劳动力社会分工和市场看不见手的调节，</w:t>
      </w:r>
      <w:r>
        <w:rPr>
          <w:rFonts w:hint="default" w:cs="宋体"/>
          <w:color w:val="000000"/>
          <w:kern w:val="0"/>
          <w:szCs w:val="21"/>
          <w:lang w:eastAsia="zh-CN"/>
        </w:rPr>
        <w:t>市场</w:t>
      </w:r>
      <w:r>
        <w:rPr>
          <w:rFonts w:hint="eastAsia" w:cs="宋体"/>
          <w:color w:val="000000"/>
          <w:kern w:val="0"/>
          <w:szCs w:val="21"/>
          <w:lang w:val="en-US" w:eastAsia="zh-CN"/>
        </w:rPr>
        <w:t>经济会得到很好的发展。《通论》</w:t>
      </w:r>
      <w:r>
        <w:rPr>
          <w:rFonts w:hint="default" w:cs="宋体"/>
          <w:color w:val="000000"/>
          <w:kern w:val="0"/>
          <w:szCs w:val="21"/>
          <w:lang w:eastAsia="zh-CN"/>
        </w:rPr>
        <w:t>凯恩斯关于经济活动的认知是：（当时）</w:t>
      </w:r>
      <w:r>
        <w:rPr>
          <w:rFonts w:hint="eastAsia" w:cs="宋体"/>
          <w:color w:val="000000"/>
          <w:kern w:val="0"/>
          <w:szCs w:val="21"/>
          <w:lang w:val="en-US" w:eastAsia="zh-CN"/>
        </w:rPr>
        <w:t>主流经济理论</w:t>
      </w:r>
      <w:r>
        <w:rPr>
          <w:rFonts w:hint="default" w:cs="宋体"/>
          <w:color w:val="000000"/>
          <w:kern w:val="0"/>
          <w:szCs w:val="21"/>
          <w:lang w:eastAsia="zh-CN"/>
        </w:rPr>
        <w:t>对经济活动规律的认知</w:t>
      </w:r>
      <w:r>
        <w:rPr>
          <w:rFonts w:hint="eastAsia" w:cs="宋体"/>
          <w:color w:val="000000"/>
          <w:kern w:val="0"/>
          <w:szCs w:val="21"/>
          <w:lang w:val="en-US" w:eastAsia="zh-CN"/>
        </w:rPr>
        <w:t>是一种理想状态</w:t>
      </w:r>
      <w:r>
        <w:rPr>
          <w:rFonts w:hint="default" w:cs="宋体"/>
          <w:color w:val="000000"/>
          <w:kern w:val="0"/>
          <w:szCs w:val="21"/>
          <w:lang w:eastAsia="zh-CN"/>
        </w:rPr>
        <w:t>，</w:t>
      </w:r>
      <w:r>
        <w:rPr>
          <w:rFonts w:hint="eastAsia" w:cs="宋体"/>
          <w:color w:val="000000"/>
          <w:kern w:val="0"/>
          <w:szCs w:val="21"/>
          <w:lang w:val="en-US" w:eastAsia="zh-CN"/>
        </w:rPr>
        <w:t>现实经济活动由于工资粘性，信息不对称，人不理性等原因将会出现失业等现象，政府</w:t>
      </w:r>
      <w:r>
        <w:rPr>
          <w:rFonts w:hint="default" w:cs="宋体"/>
          <w:color w:val="000000"/>
          <w:kern w:val="0"/>
          <w:szCs w:val="21"/>
          <w:lang w:eastAsia="zh-CN"/>
        </w:rPr>
        <w:t>通过加大</w:t>
      </w:r>
      <w:r>
        <w:rPr>
          <w:rFonts w:hint="eastAsia" w:cs="宋体"/>
          <w:color w:val="000000"/>
          <w:kern w:val="0"/>
          <w:szCs w:val="21"/>
          <w:lang w:val="en-US" w:eastAsia="zh-CN"/>
        </w:rPr>
        <w:t>支出扩大社会需求</w:t>
      </w:r>
      <w:r>
        <w:rPr>
          <w:rFonts w:hint="default" w:cs="宋体"/>
          <w:color w:val="000000"/>
          <w:kern w:val="0"/>
          <w:szCs w:val="21"/>
          <w:lang w:eastAsia="zh-CN"/>
        </w:rPr>
        <w:t>可以</w:t>
      </w:r>
      <w:r>
        <w:rPr>
          <w:rFonts w:hint="eastAsia" w:cs="宋体"/>
          <w:color w:val="000000"/>
          <w:kern w:val="0"/>
          <w:szCs w:val="21"/>
          <w:lang w:val="en-US" w:eastAsia="zh-CN"/>
        </w:rPr>
        <w:t>减少失业率。</w:t>
      </w:r>
    </w:p>
    <w:p>
      <w:pPr>
        <w:numPr>
          <w:ilvl w:val="0"/>
          <w:numId w:val="0"/>
        </w:numPr>
        <w:ind w:firstLine="420" w:firstLineChars="200"/>
        <w:rPr>
          <w:rFonts w:hint="eastAsia" w:cs="宋体"/>
          <w:color w:val="000000"/>
          <w:kern w:val="0"/>
          <w:szCs w:val="21"/>
          <w:lang w:val="en-US" w:eastAsia="zh-CN"/>
        </w:rPr>
      </w:pPr>
      <w:r>
        <w:rPr>
          <w:rFonts w:hint="default" w:cs="宋体"/>
          <w:color w:val="000000"/>
          <w:kern w:val="0"/>
          <w:szCs w:val="21"/>
          <w:lang w:eastAsia="zh-CN"/>
        </w:rPr>
        <w:t>经济思想</w:t>
      </w:r>
      <w:r>
        <w:rPr>
          <w:rFonts w:hint="eastAsia" w:cs="宋体"/>
          <w:color w:val="000000"/>
          <w:kern w:val="0"/>
          <w:szCs w:val="21"/>
          <w:lang w:val="en-US" w:eastAsia="zh-CN"/>
        </w:rPr>
        <w:t>著作或论文的特点是</w:t>
      </w:r>
      <w:r>
        <w:rPr>
          <w:rFonts w:hint="default" w:cs="宋体"/>
          <w:color w:val="000000"/>
          <w:kern w:val="0"/>
          <w:szCs w:val="21"/>
          <w:lang w:eastAsia="zh-CN"/>
        </w:rPr>
        <w:t>没有</w:t>
      </w:r>
      <w:r>
        <w:rPr>
          <w:rFonts w:hint="eastAsia" w:cs="宋体"/>
          <w:color w:val="000000"/>
          <w:kern w:val="0"/>
          <w:szCs w:val="21"/>
          <w:lang w:val="en-US" w:eastAsia="zh-CN"/>
        </w:rPr>
        <w:t>对研究</w:t>
      </w:r>
      <w:r>
        <w:rPr>
          <w:rFonts w:hint="default" w:cs="宋体"/>
          <w:color w:val="000000"/>
          <w:kern w:val="0"/>
          <w:szCs w:val="21"/>
          <w:lang w:eastAsia="zh-CN"/>
        </w:rPr>
        <w:t>目标做</w:t>
      </w:r>
      <w:r>
        <w:rPr>
          <w:rFonts w:hint="eastAsia" w:cs="宋体"/>
          <w:color w:val="000000"/>
          <w:kern w:val="0"/>
          <w:szCs w:val="21"/>
          <w:lang w:val="en-US" w:eastAsia="zh-CN"/>
        </w:rPr>
        <w:t>数学意义上</w:t>
      </w:r>
      <w:r>
        <w:rPr>
          <w:rFonts w:hint="default" w:cs="宋体"/>
          <w:color w:val="000000"/>
          <w:kern w:val="0"/>
          <w:szCs w:val="21"/>
          <w:lang w:eastAsia="zh-CN"/>
        </w:rPr>
        <w:t>的理想简化，无法</w:t>
      </w:r>
      <w:r>
        <w:rPr>
          <w:rFonts w:hint="eastAsia" w:cs="宋体"/>
          <w:color w:val="000000"/>
          <w:kern w:val="0"/>
          <w:szCs w:val="21"/>
          <w:lang w:val="en-US" w:eastAsia="zh-CN"/>
        </w:rPr>
        <w:t>对经济活动</w:t>
      </w:r>
      <w:r>
        <w:rPr>
          <w:rFonts w:hint="default" w:cs="宋体"/>
          <w:color w:val="000000"/>
          <w:kern w:val="0"/>
          <w:szCs w:val="21"/>
          <w:lang w:eastAsia="zh-CN"/>
        </w:rPr>
        <w:t>规律做</w:t>
      </w:r>
      <w:r>
        <w:rPr>
          <w:rFonts w:hint="eastAsia" w:cs="宋体"/>
          <w:color w:val="000000"/>
          <w:kern w:val="0"/>
          <w:szCs w:val="21"/>
          <w:lang w:val="en-US" w:eastAsia="zh-CN"/>
        </w:rPr>
        <w:t>数学意义上</w:t>
      </w:r>
      <w:r>
        <w:rPr>
          <w:rFonts w:hint="default" w:cs="宋体"/>
          <w:color w:val="000000"/>
          <w:kern w:val="0"/>
          <w:szCs w:val="21"/>
          <w:lang w:eastAsia="zh-CN"/>
        </w:rPr>
        <w:t>的</w:t>
      </w:r>
      <w:r>
        <w:rPr>
          <w:rFonts w:hint="eastAsia" w:cs="宋体"/>
          <w:color w:val="000000"/>
          <w:kern w:val="0"/>
          <w:szCs w:val="21"/>
          <w:lang w:val="en-US" w:eastAsia="zh-CN"/>
        </w:rPr>
        <w:t>严格表达</w:t>
      </w:r>
      <w:r>
        <w:rPr>
          <w:rFonts w:hint="default" w:cs="宋体"/>
          <w:color w:val="000000"/>
          <w:kern w:val="0"/>
          <w:szCs w:val="21"/>
          <w:lang w:eastAsia="zh-CN"/>
        </w:rPr>
        <w:t>，无法对经济活动的其它规律用数学逻辑演绎出来</w:t>
      </w:r>
      <w:r>
        <w:rPr>
          <w:rFonts w:hint="eastAsia" w:cs="宋体"/>
          <w:color w:val="000000"/>
          <w:kern w:val="0"/>
          <w:szCs w:val="21"/>
          <w:lang w:val="en-US" w:eastAsia="zh-CN"/>
        </w:rPr>
        <w:t>。比如《国富论》对经济规律的阐述很模糊。由于这个原因，现代经济学</w:t>
      </w:r>
      <w:r>
        <w:rPr>
          <w:rFonts w:hint="default" w:cs="宋体"/>
          <w:color w:val="000000"/>
          <w:kern w:val="0"/>
          <w:szCs w:val="21"/>
          <w:lang w:eastAsia="zh-CN"/>
        </w:rPr>
        <w:t>，特别是西方主流经济理论</w:t>
      </w:r>
      <w:r>
        <w:rPr>
          <w:rFonts w:hint="eastAsia" w:cs="宋体"/>
          <w:color w:val="000000"/>
          <w:kern w:val="0"/>
          <w:szCs w:val="21"/>
          <w:lang w:val="en-US" w:eastAsia="zh-CN"/>
        </w:rPr>
        <w:t>一般都不</w:t>
      </w:r>
      <w:r>
        <w:rPr>
          <w:rFonts w:hint="default" w:cs="宋体"/>
          <w:color w:val="000000"/>
          <w:kern w:val="0"/>
          <w:szCs w:val="21"/>
          <w:lang w:eastAsia="zh-CN"/>
        </w:rPr>
        <w:t>再</w:t>
      </w:r>
      <w:r>
        <w:rPr>
          <w:rFonts w:hint="eastAsia" w:cs="宋体"/>
          <w:color w:val="000000"/>
          <w:kern w:val="0"/>
          <w:szCs w:val="21"/>
          <w:lang w:val="en-US" w:eastAsia="zh-CN"/>
        </w:rPr>
        <w:t>采用经济思想这种方式。</w:t>
      </w:r>
    </w:p>
    <w:p>
      <w:pPr>
        <w:numPr>
          <w:ilvl w:val="0"/>
          <w:numId w:val="0"/>
        </w:numPr>
        <w:rPr>
          <w:rFonts w:hint="default" w:cs="宋体"/>
          <w:color w:val="000000"/>
          <w:kern w:val="0"/>
          <w:szCs w:val="21"/>
          <w:lang w:eastAsia="zh-CN"/>
        </w:rPr>
      </w:pPr>
      <w:r>
        <w:rPr>
          <w:rFonts w:hint="default" w:cs="宋体"/>
          <w:color w:val="000000"/>
          <w:kern w:val="0"/>
          <w:szCs w:val="21"/>
          <w:lang w:eastAsia="zh-CN"/>
        </w:rPr>
        <w:t xml:space="preserve">    西方主流经济理论一般采用数学模型表述。首先把各经济主体抽象成高度理想和简化的数学体，使经济变量可以用数学符号表述，经济活动规律可以用经济变量的函数和方程表述。这样的经济理论实质上是一个把经济活动抽象成数学体并用数学逻辑语言表述经济活动规律的形式逻辑体系。</w:t>
      </w:r>
    </w:p>
    <w:p>
      <w:pPr>
        <w:widowControl w:val="0"/>
        <w:numPr>
          <w:ilvl w:val="0"/>
          <w:numId w:val="1"/>
        </w:numPr>
        <w:ind w:left="420" w:leftChars="0" w:firstLine="0" w:firstLineChars="0"/>
        <w:jc w:val="both"/>
        <w:rPr>
          <w:rFonts w:hint="eastAsia" w:cs="宋体"/>
          <w:color w:val="000000"/>
          <w:kern w:val="0"/>
          <w:szCs w:val="21"/>
          <w:lang w:val="en-US" w:eastAsia="zh-CN"/>
        </w:rPr>
      </w:pPr>
      <w:r>
        <w:rPr>
          <w:rFonts w:hint="eastAsia" w:cs="宋体"/>
          <w:color w:val="000000"/>
          <w:kern w:val="0"/>
          <w:szCs w:val="21"/>
          <w:lang w:val="en-US" w:eastAsia="zh-CN"/>
        </w:rPr>
        <w:t>科学</w:t>
      </w:r>
      <w:r>
        <w:rPr>
          <w:rFonts w:hint="default" w:cs="宋体"/>
          <w:color w:val="000000"/>
          <w:kern w:val="0"/>
          <w:szCs w:val="21"/>
          <w:lang w:eastAsia="zh-CN"/>
        </w:rPr>
        <w:t>、数学与形式逻辑</w:t>
      </w:r>
    </w:p>
    <w:p>
      <w:pPr>
        <w:widowControl w:val="0"/>
        <w:numPr>
          <w:ilvl w:val="0"/>
          <w:numId w:val="0"/>
        </w:numPr>
        <w:ind w:left="0" w:leftChars="0" w:firstLine="0" w:firstLineChars="0"/>
        <w:jc w:val="both"/>
        <w:rPr>
          <w:rFonts w:hint="eastAsia" w:asciiTheme="minorEastAsia" w:hAnsiTheme="minorEastAsia" w:eastAsiaTheme="minorEastAsia" w:cstheme="minorEastAsia"/>
          <w:b w:val="0"/>
          <w:bCs w:val="0"/>
          <w:color w:val="231F20"/>
          <w:sz w:val="21"/>
          <w:szCs w:val="21"/>
          <w:lang w:val="en-US" w:eastAsia="zh-CN"/>
        </w:rPr>
      </w:pPr>
      <w:r>
        <w:rPr>
          <w:rFonts w:hint="default" w:cs="宋体"/>
          <w:color w:val="000000"/>
          <w:kern w:val="0"/>
          <w:szCs w:val="21"/>
          <w:lang w:eastAsia="zh-CN"/>
        </w:rPr>
        <w:t xml:space="preserve">    经济理论是科学的学科之一。要更好地理解经济理论需要首先理解科学。</w:t>
      </w:r>
      <w:r>
        <w:rPr>
          <w:rFonts w:hint="eastAsia" w:cs="宋体"/>
          <w:color w:val="000000"/>
          <w:kern w:val="0"/>
          <w:szCs w:val="21"/>
          <w:lang w:val="en-US" w:eastAsia="zh-CN"/>
        </w:rPr>
        <w:t>关于什么是科学至今没有统一的论述。本文认为爱因斯坦关于科学的论述有一定的启发意义。爱因斯坦说，“</w:t>
      </w:r>
      <w:r>
        <w:rPr>
          <w:rFonts w:hint="eastAsia" w:asciiTheme="minorEastAsia" w:hAnsiTheme="minorEastAsia" w:eastAsiaTheme="minorEastAsia" w:cstheme="minorEastAsia"/>
          <w:b w:val="0"/>
          <w:bCs w:val="0"/>
          <w:color w:val="231F20"/>
          <w:sz w:val="21"/>
          <w:szCs w:val="21"/>
          <w:lang w:val="en-US" w:eastAsia="zh-CN"/>
        </w:rPr>
        <w:t>Development of Western science is based on two great achievements:the invention of the formal logical system&lt;in Euclidean geometry&gt;by the Greek philosophers, and the discovery of the possibility to find out causal relationships by systematic experiment &lt;during the Renaissance.&gt;”</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eastAsia="zh-CN"/>
        </w:rPr>
      </w:pPr>
      <w:r>
        <w:rPr>
          <w:rFonts w:hint="eastAsia" w:asciiTheme="minorEastAsia" w:hAnsiTheme="minorEastAsia" w:eastAsiaTheme="minorEastAsia" w:cstheme="minorEastAsia"/>
          <w:b w:val="0"/>
          <w:bCs w:val="0"/>
          <w:color w:val="231F20"/>
          <w:sz w:val="21"/>
          <w:szCs w:val="21"/>
          <w:lang w:val="en-US" w:eastAsia="zh-CN"/>
        </w:rPr>
        <w:t>根据爱因斯坦关于科学的论述，本文认为科学包括两个重要方面，一是以欧几里德几何为表现形式的形式逻辑，二是实验数据对逻辑的</w:t>
      </w:r>
      <w:r>
        <w:rPr>
          <w:rFonts w:hint="default" w:asciiTheme="minorEastAsia" w:hAnsiTheme="minorEastAsia" w:eastAsiaTheme="minorEastAsia" w:cstheme="minorEastAsia"/>
          <w:b w:val="0"/>
          <w:bCs w:val="0"/>
          <w:color w:val="231F20"/>
          <w:sz w:val="21"/>
          <w:szCs w:val="21"/>
          <w:lang w:eastAsia="zh-CN"/>
        </w:rPr>
        <w:t>检验和</w:t>
      </w:r>
      <w:r>
        <w:rPr>
          <w:rFonts w:hint="eastAsia" w:asciiTheme="minorEastAsia" w:hAnsiTheme="minorEastAsia" w:eastAsiaTheme="minorEastAsia" w:cstheme="minorEastAsia"/>
          <w:b w:val="0"/>
          <w:bCs w:val="0"/>
          <w:color w:val="231F20"/>
          <w:sz w:val="21"/>
          <w:szCs w:val="21"/>
          <w:lang w:val="en-US" w:eastAsia="zh-CN"/>
        </w:rPr>
        <w:t>实证。欧几里德</w:t>
      </w:r>
      <w:r>
        <w:rPr>
          <w:rFonts w:hint="default" w:asciiTheme="minorEastAsia" w:hAnsiTheme="minorEastAsia" w:eastAsiaTheme="minorEastAsia" w:cstheme="minorEastAsia"/>
          <w:b w:val="0"/>
          <w:bCs w:val="0"/>
          <w:color w:val="231F20"/>
          <w:sz w:val="21"/>
          <w:szCs w:val="21"/>
          <w:lang w:eastAsia="zh-CN"/>
        </w:rPr>
        <w:t>几何对点、线、面等做数学意义上的理想简化，提出若干关于点、线、面的公理，然后推导各种点、线、面之间的规律。</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eastAsia="zh-CN"/>
        </w:rPr>
      </w:pPr>
      <w:r>
        <w:rPr>
          <w:rFonts w:hint="default" w:asciiTheme="minorEastAsia" w:hAnsiTheme="minorEastAsia" w:eastAsiaTheme="minorEastAsia" w:cstheme="minorEastAsia"/>
          <w:b w:val="0"/>
          <w:bCs w:val="0"/>
          <w:color w:val="231F20"/>
          <w:sz w:val="21"/>
          <w:szCs w:val="21"/>
          <w:lang w:eastAsia="zh-CN"/>
        </w:rPr>
        <w:t>现代数学是对欧几里德几何的扩充，表述数学抽象意义上理想事物之间的逻辑关系。科学理论则是科学家们主观构建的关于某研究目标发展规律用数学符号、函数和方程表述的形式逻辑体系。科学理论的构建，首先得把研究目标做数学意义上的理想简化。</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eastAsia="zh-CN"/>
        </w:rPr>
      </w:pPr>
      <w:r>
        <w:rPr>
          <w:rFonts w:hint="default" w:asciiTheme="minorEastAsia" w:hAnsiTheme="minorEastAsia" w:eastAsiaTheme="minorEastAsia" w:cstheme="minorEastAsia"/>
          <w:b w:val="0"/>
          <w:bCs w:val="0"/>
          <w:color w:val="231F20"/>
          <w:sz w:val="21"/>
          <w:szCs w:val="21"/>
          <w:lang w:eastAsia="zh-CN"/>
        </w:rPr>
        <w:t>形式逻辑是规范的逻辑体系，涉及逻辑前提，或基础逻辑。逻辑前提或基础逻辑在</w:t>
      </w:r>
      <w:r>
        <w:rPr>
          <w:rFonts w:hint="eastAsia" w:asciiTheme="minorEastAsia" w:hAnsiTheme="minorEastAsia" w:eastAsiaTheme="minorEastAsia" w:cstheme="minorEastAsia"/>
          <w:b w:val="0"/>
          <w:bCs w:val="0"/>
          <w:color w:val="231F20"/>
          <w:sz w:val="21"/>
          <w:szCs w:val="21"/>
          <w:lang w:val="en-US" w:eastAsia="zh-CN"/>
        </w:rPr>
        <w:t>欧几里德几何</w:t>
      </w:r>
      <w:r>
        <w:rPr>
          <w:rFonts w:hint="default" w:asciiTheme="minorEastAsia" w:hAnsiTheme="minorEastAsia" w:eastAsiaTheme="minorEastAsia" w:cstheme="minorEastAsia"/>
          <w:b w:val="0"/>
          <w:bCs w:val="0"/>
          <w:color w:val="231F20"/>
          <w:sz w:val="21"/>
          <w:szCs w:val="21"/>
          <w:lang w:eastAsia="zh-CN"/>
        </w:rPr>
        <w:t>里被称为</w:t>
      </w:r>
      <w:r>
        <w:rPr>
          <w:rFonts w:hint="eastAsia" w:asciiTheme="minorEastAsia" w:hAnsiTheme="minorEastAsia" w:eastAsiaTheme="minorEastAsia" w:cstheme="minorEastAsia"/>
          <w:b w:val="0"/>
          <w:bCs w:val="0"/>
          <w:color w:val="231F20"/>
          <w:sz w:val="21"/>
          <w:szCs w:val="21"/>
          <w:lang w:val="en-US" w:eastAsia="zh-CN"/>
        </w:rPr>
        <w:t>公理，</w:t>
      </w:r>
      <w:r>
        <w:rPr>
          <w:rFonts w:hint="default" w:asciiTheme="minorEastAsia" w:hAnsiTheme="minorEastAsia" w:eastAsiaTheme="minorEastAsia" w:cstheme="minorEastAsia"/>
          <w:b w:val="0"/>
          <w:bCs w:val="0"/>
          <w:color w:val="231F20"/>
          <w:sz w:val="21"/>
          <w:szCs w:val="21"/>
          <w:lang w:eastAsia="zh-CN"/>
        </w:rPr>
        <w:t>独立同分布是概率和统计学的公理，任何数学学科都存在作为逻辑前提或基础逻辑的公理。</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val="en-US" w:eastAsia="zh-CN"/>
        </w:rPr>
      </w:pPr>
      <w:r>
        <w:rPr>
          <w:rFonts w:hint="default" w:asciiTheme="minorEastAsia" w:hAnsiTheme="minorEastAsia" w:eastAsiaTheme="minorEastAsia" w:cstheme="minorEastAsia"/>
          <w:b w:val="0"/>
          <w:bCs w:val="0"/>
          <w:color w:val="231F20"/>
          <w:sz w:val="21"/>
          <w:szCs w:val="21"/>
          <w:lang w:eastAsia="zh-CN"/>
        </w:rPr>
        <w:t>任何学科的科学理论都需要作为逻辑前提或基础逻辑的公理。</w:t>
      </w:r>
      <w:r>
        <w:rPr>
          <w:rFonts w:hint="eastAsia" w:asciiTheme="minorEastAsia" w:hAnsiTheme="minorEastAsia" w:eastAsiaTheme="minorEastAsia" w:cstheme="minorEastAsia"/>
          <w:b w:val="0"/>
          <w:bCs w:val="0"/>
          <w:color w:val="231F20"/>
          <w:sz w:val="21"/>
          <w:szCs w:val="21"/>
          <w:lang w:val="en-US" w:eastAsia="zh-CN"/>
        </w:rPr>
        <w:t>牛顿三大运动定律曾经被认为是牛顿经典力学的公理。</w:t>
      </w:r>
    </w:p>
    <w:p>
      <w:pPr>
        <w:widowControl w:val="0"/>
        <w:numPr>
          <w:ilvl w:val="0"/>
          <w:numId w:val="1"/>
        </w:numPr>
        <w:ind w:left="420" w:leftChars="0" w:firstLine="0" w:firstLineChars="0"/>
        <w:jc w:val="both"/>
        <w:rPr>
          <w:rFonts w:hint="eastAsia" w:cs="宋体"/>
          <w:color w:val="000000"/>
          <w:kern w:val="0"/>
          <w:szCs w:val="21"/>
          <w:lang w:val="en-US" w:eastAsia="zh-CN"/>
        </w:rPr>
      </w:pPr>
      <w:r>
        <w:rPr>
          <w:rFonts w:hint="eastAsia" w:cs="宋体"/>
          <w:color w:val="000000"/>
          <w:kern w:val="0"/>
          <w:szCs w:val="21"/>
          <w:lang w:val="en-US" w:eastAsia="zh-CN"/>
        </w:rPr>
        <w:t>科学方法论的进化</w:t>
      </w:r>
    </w:p>
    <w:p>
      <w:pPr>
        <w:widowControl w:val="0"/>
        <w:numPr>
          <w:ilvl w:val="0"/>
          <w:numId w:val="0"/>
        </w:numPr>
        <w:ind w:firstLine="420" w:firstLineChars="200"/>
        <w:jc w:val="both"/>
        <w:rPr>
          <w:rFonts w:hint="eastAsia" w:cs="宋体"/>
          <w:color w:val="000000"/>
          <w:kern w:val="0"/>
          <w:szCs w:val="21"/>
          <w:lang w:val="en-US" w:eastAsia="zh-CN"/>
        </w:rPr>
      </w:pPr>
      <w:r>
        <w:rPr>
          <w:rFonts w:hint="eastAsia" w:cs="宋体"/>
          <w:color w:val="000000"/>
          <w:kern w:val="0"/>
          <w:szCs w:val="21"/>
          <w:lang w:val="en-US" w:eastAsia="zh-CN"/>
        </w:rPr>
        <w:t>牛顿三大运动定律曾经被认为是公理。自爱因斯坦的相对论出现后，牛顿三大运动定律就不再是公理，而是假设。推而广之，所有曾经被认为是公理性的规律从严格科学意义上讲都不再是公理，而是假设。包括麦克斯韦方程等都是科学意义上的假设。</w:t>
      </w:r>
    </w:p>
    <w:p>
      <w:pPr>
        <w:widowControl w:val="0"/>
        <w:numPr>
          <w:ilvl w:val="0"/>
          <w:numId w:val="0"/>
        </w:numPr>
        <w:ind w:firstLine="420" w:firstLineChars="200"/>
        <w:jc w:val="both"/>
        <w:rPr>
          <w:rFonts w:hint="default" w:cs="宋体"/>
          <w:color w:val="000000"/>
          <w:kern w:val="0"/>
          <w:szCs w:val="21"/>
          <w:lang w:eastAsia="zh-CN"/>
        </w:rPr>
      </w:pPr>
      <w:r>
        <w:rPr>
          <w:rFonts w:hint="eastAsia" w:cs="宋体"/>
          <w:color w:val="000000"/>
          <w:kern w:val="0"/>
          <w:szCs w:val="21"/>
          <w:lang w:val="en-US" w:eastAsia="zh-CN"/>
        </w:rPr>
        <w:t>科学理论中，所有曾经被认为是公理性的基本规律或定律，实际上都是严格科学意义上的假设，这就是科学方法论的进化。</w:t>
      </w:r>
      <w:r>
        <w:rPr>
          <w:rFonts w:hint="default" w:cs="宋体"/>
          <w:color w:val="000000"/>
          <w:kern w:val="0"/>
          <w:szCs w:val="21"/>
          <w:lang w:eastAsia="zh-CN"/>
        </w:rPr>
        <w:t>科学方法论完成这样的进化后，科学理论也完成了进化。进化后的科学理论是科学家对研究目标进行数学意义上的理想简化后，对理想简化的研究目标做出在若干基本规律假设，并因此演绎研究目标的其它规律。</w:t>
      </w:r>
    </w:p>
    <w:p>
      <w:pPr>
        <w:widowControl w:val="0"/>
        <w:numPr>
          <w:ilvl w:val="0"/>
          <w:numId w:val="0"/>
        </w:numPr>
        <w:ind w:firstLine="420" w:firstLineChars="200"/>
        <w:jc w:val="both"/>
        <w:rPr>
          <w:rFonts w:hint="default" w:cs="宋体"/>
          <w:color w:val="000000"/>
          <w:kern w:val="0"/>
          <w:szCs w:val="21"/>
          <w:lang w:eastAsia="zh-CN"/>
        </w:rPr>
      </w:pPr>
      <w:r>
        <w:rPr>
          <w:rFonts w:hint="default" w:cs="宋体"/>
          <w:color w:val="000000"/>
          <w:kern w:val="0"/>
          <w:szCs w:val="21"/>
          <w:lang w:eastAsia="zh-CN"/>
        </w:rPr>
        <w:t>科学家对研究目标进行数学意义上的简化，实质上是把客观研究目标抽象成主观理想事物。</w:t>
      </w:r>
    </w:p>
    <w:p>
      <w:pPr>
        <w:widowControl w:val="0"/>
        <w:numPr>
          <w:ilvl w:val="0"/>
          <w:numId w:val="0"/>
        </w:numPr>
        <w:ind w:left="0" w:leftChars="0" w:firstLine="0" w:firstLineChars="0"/>
        <w:jc w:val="both"/>
        <w:rPr>
          <w:rFonts w:hint="default" w:cs="宋体"/>
          <w:color w:val="000000"/>
          <w:kern w:val="0"/>
          <w:szCs w:val="21"/>
          <w:lang w:val="en-US" w:eastAsia="zh-CN"/>
        </w:rPr>
      </w:pPr>
      <w:r>
        <w:rPr>
          <w:rFonts w:hint="default" w:cs="宋体"/>
          <w:color w:val="000000"/>
          <w:kern w:val="0"/>
          <w:szCs w:val="21"/>
          <w:lang w:eastAsia="zh-CN"/>
        </w:rPr>
        <w:t xml:space="preserve">    4，</w:t>
      </w:r>
      <w:r>
        <w:rPr>
          <w:rFonts w:hint="eastAsia" w:cs="宋体"/>
          <w:color w:val="000000"/>
          <w:kern w:val="0"/>
          <w:szCs w:val="21"/>
          <w:lang w:val="en-US" w:eastAsia="zh-CN"/>
        </w:rPr>
        <w:t>亚当斯密的经济思想与阿罗-德布鲁的一般均衡数学模型</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经济思想表述不明确，更重要的是无法进行学术传承，即学术共同体难以对其讨论和完善，难以对其进行检验和实证。比如《国富论》，</w:t>
      </w:r>
      <w:r>
        <w:rPr>
          <w:rFonts w:hint="default" w:cs="宋体"/>
          <w:color w:val="000000"/>
          <w:kern w:val="0"/>
          <w:szCs w:val="21"/>
          <w:lang w:eastAsia="zh-CN"/>
        </w:rPr>
        <w:t>不知道其经济思想的逻辑体系什么，无法对其逻辑体系是否成立进行检验。类似的包括中国的思想哲学著作《论语》和《道德经》，无法指出其逻辑体系，更无法对其逻辑体系做检验。社会思想如哲学思想和经济思想要想获得学术共同体的共同努力，获得学术共同体的检验、发展和完善，必须形式逻辑化，科学化，数学模型化。</w:t>
      </w:r>
      <w:r>
        <w:rPr>
          <w:rFonts w:hint="eastAsia" w:cs="宋体"/>
          <w:color w:val="000000"/>
          <w:kern w:val="0"/>
          <w:szCs w:val="21"/>
          <w:lang w:val="en-US" w:eastAsia="zh-CN"/>
        </w:rPr>
        <w:t>因此，现代经济理论</w:t>
      </w:r>
      <w:r>
        <w:rPr>
          <w:rFonts w:hint="default" w:cs="宋体"/>
          <w:color w:val="000000"/>
          <w:kern w:val="0"/>
          <w:szCs w:val="21"/>
          <w:lang w:eastAsia="zh-CN"/>
        </w:rPr>
        <w:t>一</w:t>
      </w:r>
      <w:r>
        <w:rPr>
          <w:rFonts w:hint="eastAsia" w:cs="宋体"/>
          <w:color w:val="000000"/>
          <w:kern w:val="0"/>
          <w:szCs w:val="21"/>
          <w:lang w:val="en-US" w:eastAsia="zh-CN"/>
        </w:rPr>
        <w:t>般都用数学模型。</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经济理论数学模型首先把现实经济体系做数学意义上的理想简化，并定义若干经济变量。把对经济体系的规律性认知作为关于经济体系的基本规律假设提出来。然后对这个假设做检验，如果检验结果是这个基本规律假设不成立，或假设性过强，则需改变这个基本规律假设，提出更符合现实的假设。如此循环，最终让经济理论达到有意义和完善的程度。</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阿罗-德布鲁的“Existence of an Equilibrium for a Competitive Economy”可以认为是</w:t>
      </w:r>
      <w:r>
        <w:rPr>
          <w:rFonts w:hint="default" w:cs="宋体"/>
          <w:color w:val="000000"/>
          <w:kern w:val="0"/>
          <w:szCs w:val="21"/>
          <w:lang w:eastAsia="zh-CN"/>
        </w:rPr>
        <w:t>把</w:t>
      </w:r>
      <w:r>
        <w:rPr>
          <w:rFonts w:hint="eastAsia" w:cs="宋体"/>
          <w:color w:val="000000"/>
          <w:kern w:val="0"/>
          <w:szCs w:val="21"/>
          <w:lang w:val="en-US" w:eastAsia="zh-CN"/>
        </w:rPr>
        <w:t>《国富论》</w:t>
      </w:r>
      <w:r>
        <w:rPr>
          <w:rFonts w:hint="default" w:cs="宋体"/>
          <w:color w:val="000000"/>
          <w:kern w:val="0"/>
          <w:szCs w:val="21"/>
          <w:lang w:eastAsia="zh-CN"/>
        </w:rPr>
        <w:t>的</w:t>
      </w:r>
      <w:r>
        <w:rPr>
          <w:rFonts w:hint="eastAsia" w:cs="宋体"/>
          <w:color w:val="000000"/>
          <w:kern w:val="0"/>
          <w:szCs w:val="21"/>
          <w:lang w:val="en-US" w:eastAsia="zh-CN"/>
        </w:rPr>
        <w:t>经济思想进行</w:t>
      </w:r>
      <w:r>
        <w:rPr>
          <w:rFonts w:hint="default" w:cs="宋体"/>
          <w:color w:val="000000"/>
          <w:kern w:val="0"/>
          <w:szCs w:val="21"/>
          <w:lang w:eastAsia="zh-CN"/>
        </w:rPr>
        <w:t>数学模型化的</w:t>
      </w:r>
      <w:r>
        <w:rPr>
          <w:rFonts w:hint="eastAsia" w:cs="宋体"/>
          <w:color w:val="000000"/>
          <w:kern w:val="0"/>
          <w:szCs w:val="21"/>
          <w:lang w:val="en-US" w:eastAsia="zh-CN"/>
        </w:rPr>
        <w:t>论文</w:t>
      </w:r>
      <w:r>
        <w:rPr>
          <w:rFonts w:hint="default" w:cs="宋体"/>
          <w:color w:val="000000"/>
          <w:kern w:val="0"/>
          <w:szCs w:val="21"/>
          <w:lang w:eastAsia="zh-CN"/>
        </w:rPr>
        <w:t>。</w:t>
      </w:r>
      <w:r>
        <w:rPr>
          <w:rFonts w:hint="eastAsia" w:cs="宋体"/>
          <w:color w:val="000000"/>
          <w:kern w:val="0"/>
          <w:szCs w:val="21"/>
          <w:lang w:val="en-US" w:eastAsia="zh-CN"/>
        </w:rPr>
        <w:t>该论文对经济系统竞争性均衡做了明确的定义，并阐述了经济系统存在竞争性均衡的前提条件。</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 xml:space="preserve">1.5.0. DEFINITION : A set of vectors (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x</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1</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x</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m</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y</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1</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y</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n</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 </w:t>
      </w:r>
      <m:oMath>
        <m:sSup>
          <m:sSupPr>
            <m:ctrlPr>
              <w:rPr>
                <w:rFonts w:ascii="Cambria Math" w:hAnsi="Cambria Math" w:cs="宋体"/>
                <w:i/>
                <w:color w:val="000000"/>
                <w:kern w:val="0"/>
                <w:szCs w:val="21"/>
                <w:lang w:val="en-US"/>
              </w:rPr>
            </m:ctrlPr>
          </m:sSupPr>
          <m:e>
            <m:r>
              <m:rPr/>
              <w:rPr>
                <w:rFonts w:hint="default" w:ascii="Cambria Math" w:hAnsi="Cambria Math" w:cs="宋体"/>
                <w:color w:val="000000"/>
                <w:kern w:val="0"/>
                <w:szCs w:val="21"/>
                <w:lang w:val="en-US" w:eastAsia="zh-CN"/>
              </w:rPr>
              <m:t>p</m:t>
            </m:r>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is said to be a competitive equilibrium if it satisfies Conditions 1-4.</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1.5.1. THEOREM I . For any economic system satisfying Assumptions I - IV , there is a competitive equilibrium .</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阿罗-德布鲁经济系统竞争性均衡的定义是论文中的Assumptions I - IV，其成立的前提条件是 Conditions 1-4.</w:t>
      </w:r>
    </w:p>
    <w:p>
      <w:pPr>
        <w:widowControl w:val="0"/>
        <w:numPr>
          <w:ilvl w:val="0"/>
          <w:numId w:val="0"/>
        </w:numPr>
        <w:ind w:firstLine="420"/>
        <w:jc w:val="both"/>
        <w:rPr>
          <w:rFonts w:hint="default" w:cs="宋体"/>
          <w:color w:val="000000"/>
          <w:kern w:val="0"/>
          <w:szCs w:val="21"/>
          <w:lang w:val="en-US" w:eastAsia="zh-CN"/>
        </w:rPr>
      </w:pPr>
      <w:r>
        <w:rPr>
          <w:rFonts w:hint="eastAsia" w:cs="宋体"/>
          <w:color w:val="000000"/>
          <w:kern w:val="0"/>
          <w:szCs w:val="21"/>
          <w:lang w:val="en-US" w:eastAsia="zh-CN"/>
        </w:rPr>
        <w:t>阿罗-德布鲁经济系统竞争性均衡简化地说是商品交换竞争性均衡，商品生产竞争性均衡和商品消费的时间优化路径。（1）</w:t>
      </w:r>
      <w:r>
        <w:rPr>
          <w:rFonts w:hint="eastAsia" w:ascii="宋体" w:hAnsi="宋体" w:eastAsia="宋体" w:cs="宋体"/>
          <w:sz w:val="21"/>
          <w:szCs w:val="21"/>
          <w:lang w:val="en-US" w:eastAsia="zh-CN"/>
        </w:rPr>
        <w:t>商品交换存在竞争性均衡的前提条件是被交换的商品数量是有限的，同一商品在不同地点和时间再次被交易时属于不同商品。</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商品生产存在优化竞争性均衡的前提条件是每一种商品的生产都符合封闭凸性子集的要求</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I.a. </w:t>
      </w:r>
      <m:oMath>
        <m:sSub>
          <m:sSubPr>
            <m:ctrlPr>
              <w:rPr>
                <w:rFonts w:hint="eastAsia" w:ascii="Cambria Math" w:hAnsi="Cambria Math" w:eastAsiaTheme="majorEastAsia" w:cstheme="majorEastAsia"/>
                <w:i/>
                <w:sz w:val="21"/>
                <w:szCs w:val="21"/>
                <w:lang w:val="en-US"/>
              </w:rPr>
            </m:ctrlPr>
          </m:sSubPr>
          <m:e>
            <m:r>
              <m:rPr/>
              <w:rPr>
                <w:rFonts w:hint="eastAsia" w:ascii="Cambria Math" w:hAnsi="Cambria Math" w:eastAsiaTheme="majorEastAsia" w:cstheme="majorEastAsia"/>
                <w:sz w:val="21"/>
                <w:szCs w:val="21"/>
                <w:lang w:val="en-US" w:eastAsia="zh-CN"/>
              </w:rPr>
              <m:t>Y</m:t>
            </m:r>
            <m:ctrlPr>
              <w:rPr>
                <w:rFonts w:hint="eastAsia" w:ascii="Cambria Math" w:hAnsi="Cambria Math" w:eastAsiaTheme="majorEastAsia" w:cstheme="majorEastAsia"/>
                <w:i/>
                <w:sz w:val="21"/>
                <w:szCs w:val="21"/>
                <w:lang w:val="en-US"/>
              </w:rPr>
            </m:ctrlPr>
          </m:e>
          <m:sub>
            <m:r>
              <m:rPr/>
              <w:rPr>
                <w:rFonts w:hint="eastAsia" w:ascii="Cambria Math" w:hAnsi="Cambria Math" w:eastAsiaTheme="majorEastAsia" w:cstheme="majorEastAsia"/>
                <w:sz w:val="21"/>
                <w:szCs w:val="21"/>
                <w:lang w:val="en-US" w:eastAsia="zh-CN"/>
              </w:rPr>
              <m:t>i</m:t>
            </m:r>
            <m:ctrlPr>
              <w:rPr>
                <w:rFonts w:hint="eastAsia" w:ascii="Cambria Math" w:hAnsi="Cambria Math" w:eastAsiaTheme="majorEastAsia" w:cstheme="majorEastAsia"/>
                <w:i/>
                <w:sz w:val="21"/>
                <w:szCs w:val="21"/>
                <w:lang w:val="en-US"/>
              </w:rPr>
            </m:ctrlPr>
          </m:sub>
        </m:sSub>
      </m:oMath>
      <w:r>
        <w:rPr>
          <w:rFonts w:hint="eastAsia" w:asciiTheme="majorEastAsia" w:hAnsiTheme="majorEastAsia" w:eastAsiaTheme="majorEastAsia" w:cstheme="majorEastAsia"/>
          <w:i w:val="0"/>
          <w:sz w:val="21"/>
          <w:szCs w:val="21"/>
          <w:lang w:val="en-US" w:eastAsia="zh-CN"/>
        </w:rPr>
        <w:t xml:space="preserve"> is a closed convex subset of </w:t>
      </w:r>
      <m:oMath>
        <m:sSup>
          <m:sSupPr>
            <m:ctrlPr>
              <w:rPr>
                <w:rFonts w:hint="eastAsia" w:ascii="Cambria Math" w:hAnsi="Cambria Math" w:eastAsiaTheme="majorEastAsia" w:cstheme="majorEastAsia"/>
                <w:i/>
                <w:sz w:val="21"/>
                <w:szCs w:val="21"/>
                <w:lang w:val="en-US"/>
              </w:rPr>
            </m:ctrlPr>
          </m:sSupPr>
          <m:e>
            <m:r>
              <m:rPr/>
              <w:rPr>
                <w:rFonts w:hint="eastAsia" w:ascii="Cambria Math" w:hAnsi="Cambria Math" w:eastAsiaTheme="majorEastAsia" w:cstheme="majorEastAsia"/>
                <w:sz w:val="21"/>
                <w:szCs w:val="21"/>
                <w:lang w:val="en-US" w:eastAsia="zh-CN"/>
              </w:rPr>
              <m:t>R</m:t>
            </m:r>
            <m:ctrlPr>
              <w:rPr>
                <w:rFonts w:hint="eastAsia" w:ascii="Cambria Math" w:hAnsi="Cambria Math" w:eastAsiaTheme="majorEastAsia" w:cstheme="majorEastAsia"/>
                <w:i/>
                <w:sz w:val="21"/>
                <w:szCs w:val="21"/>
                <w:lang w:val="en-US"/>
              </w:rPr>
            </m:ctrlPr>
          </m:e>
          <m:sup>
            <m:r>
              <m:rPr/>
              <w:rPr>
                <w:rFonts w:hint="eastAsia" w:ascii="Cambria Math" w:hAnsi="Cambria Math" w:eastAsiaTheme="majorEastAsia" w:cstheme="majorEastAsia"/>
                <w:sz w:val="21"/>
                <w:szCs w:val="21"/>
                <w:lang w:val="en-US" w:eastAsia="zh-CN"/>
              </w:rPr>
              <m:t>l</m:t>
            </m:r>
            <m:ctrlPr>
              <w:rPr>
                <w:rFonts w:hint="eastAsia" w:ascii="Cambria Math" w:hAnsi="Cambria Math" w:eastAsiaTheme="majorEastAsia" w:cstheme="majorEastAsia"/>
                <w:i/>
                <w:sz w:val="21"/>
                <w:szCs w:val="21"/>
                <w:lang w:val="en-US"/>
              </w:rPr>
            </m:ctrlPr>
          </m:sup>
        </m:sSup>
      </m:oMath>
      <w:r>
        <w:rPr>
          <w:rFonts w:hint="eastAsia" w:asciiTheme="majorEastAsia" w:hAnsiTheme="majorEastAsia" w:eastAsiaTheme="majorEastAsia" w:cstheme="majorEastAsia"/>
          <w:i w:val="0"/>
          <w:sz w:val="21"/>
          <w:szCs w:val="21"/>
          <w:lang w:val="en-US" w:eastAsia="zh-CN"/>
        </w:rPr>
        <w:t xml:space="preserve"> containing 0. </w:t>
      </w:r>
      <w:r>
        <w:rPr>
          <w:rFonts w:hint="eastAsia" w:asciiTheme="majorEastAsia" w:hAnsiTheme="majorEastAsia" w:eastAsiaTheme="majorEastAsia" w:cstheme="majorEastAsia"/>
          <w:sz w:val="21"/>
          <w:szCs w:val="21"/>
          <w:lang w:val="en-US" w:eastAsia="zh-CN"/>
        </w:rPr>
        <w:t>Assumption I.a. implies non-increasing returns to scale.）。（3）</w:t>
      </w:r>
      <w:r>
        <w:rPr>
          <w:rFonts w:hint="eastAsia" w:ascii="宋体" w:hAnsi="宋体" w:eastAsia="宋体" w:cs="宋体"/>
          <w:sz w:val="21"/>
          <w:szCs w:val="21"/>
          <w:lang w:val="en-US" w:eastAsia="zh-CN"/>
        </w:rPr>
        <w:t>商品效用消费存在效用优化的前提条件是：</w:t>
      </w:r>
      <w:r>
        <w:rPr>
          <w:rFonts w:hint="eastAsia" w:asciiTheme="minorEastAsia" w:hAnsiTheme="minorEastAsia" w:eastAsiaTheme="minorEastAsia" w:cstheme="minorEastAsia"/>
          <w:i w:val="0"/>
          <w:sz w:val="21"/>
          <w:szCs w:val="21"/>
          <w:lang w:val="en-US" w:eastAsia="zh-CN"/>
        </w:rPr>
        <w:t xml:space="preserve">The set of consumption vectors </w:t>
      </w:r>
      <m:oMath>
        <m:sSub>
          <m:sSubPr>
            <m:ctrlPr>
              <w:rPr>
                <w:rFonts w:hint="eastAsia" w:ascii="Cambria Math" w:hAnsi="Cambria Math" w:eastAsiaTheme="minorEastAsia" w:cstheme="minorEastAsia"/>
                <w:i/>
                <w:sz w:val="21"/>
                <w:szCs w:val="21"/>
                <w:lang w:val="en-US"/>
              </w:rPr>
            </m:ctrlPr>
          </m:sSubPr>
          <m:e>
            <m:r>
              <m:rPr/>
              <w:rPr>
                <w:rFonts w:hint="eastAsia"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i/>
                <w:sz w:val="21"/>
                <w:szCs w:val="21"/>
                <w:lang w:val="en-US"/>
              </w:rPr>
            </m:ctrlPr>
          </m:e>
          <m:sub>
            <m:r>
              <m:rPr/>
              <w:rPr>
                <w:rFonts w:hint="eastAsia" w:ascii="Cambria Math" w:hAnsi="Cambria Math" w:eastAsiaTheme="minorEastAsia" w:cstheme="minorEastAsia"/>
                <w:sz w:val="21"/>
                <w:szCs w:val="21"/>
                <w:lang w:val="en-US" w:eastAsia="zh-CN"/>
              </w:rPr>
              <m:t>i</m:t>
            </m:r>
            <m:ctrlPr>
              <w:rPr>
                <w:rFonts w:hint="eastAsia" w:ascii="Cambria Math" w:hAnsi="Cambria Math" w:eastAsiaTheme="minorEastAsia" w:cstheme="minorEastAsia"/>
                <w:i/>
                <w:sz w:val="21"/>
                <w:szCs w:val="21"/>
                <w:lang w:val="en-US"/>
              </w:rPr>
            </m:ctrlPr>
          </m:sub>
        </m:sSub>
      </m:oMath>
      <w:r>
        <w:rPr>
          <w:rFonts w:hint="eastAsia" w:asciiTheme="minorEastAsia" w:hAnsiTheme="minorEastAsia" w:eastAsiaTheme="minorEastAsia" w:cstheme="minorEastAsia"/>
          <w:i w:val="0"/>
          <w:sz w:val="21"/>
          <w:szCs w:val="21"/>
          <w:lang w:val="en-US" w:eastAsia="zh-CN"/>
        </w:rPr>
        <w:t xml:space="preserve"> available to individual i (=1,...,m) is a closet convex subset of </w:t>
      </w:r>
      <m:oMath>
        <m:sSup>
          <m:sSupPr>
            <m:ctrlPr>
              <w:rPr>
                <w:rFonts w:hint="eastAsia" w:ascii="Cambria Math" w:hAnsi="Cambria Math" w:eastAsiaTheme="minorEastAsia" w:cstheme="minorEastAsia"/>
                <w:i/>
                <w:sz w:val="21"/>
                <w:szCs w:val="21"/>
                <w:lang w:val="en-US"/>
              </w:rPr>
            </m:ctrlPr>
          </m:sSupPr>
          <m:e>
            <m:r>
              <m:rPr/>
              <w:rPr>
                <w:rFonts w:hint="eastAsia" w:ascii="Cambria Math" w:hAnsi="Cambria Math" w:eastAsiaTheme="minorEastAsia" w:cstheme="minorEastAsia"/>
                <w:sz w:val="21"/>
                <w:szCs w:val="21"/>
                <w:lang w:val="en-US" w:eastAsia="zh-CN"/>
              </w:rPr>
              <m:t>R</m:t>
            </m:r>
            <m:ctrlPr>
              <w:rPr>
                <w:rFonts w:hint="eastAsia" w:ascii="Cambria Math" w:hAnsi="Cambria Math" w:eastAsiaTheme="minorEastAsia" w:cstheme="minorEastAsia"/>
                <w:i/>
                <w:sz w:val="21"/>
                <w:szCs w:val="21"/>
                <w:lang w:val="en-US"/>
              </w:rPr>
            </m:ctrlPr>
          </m:e>
          <m:sup>
            <m:r>
              <m:rPr/>
              <w:rPr>
                <w:rFonts w:hint="eastAsia" w:ascii="Cambria Math" w:hAnsi="Cambria Math" w:eastAsiaTheme="minorEastAsia" w:cstheme="minorEastAsia"/>
                <w:sz w:val="21"/>
                <w:szCs w:val="21"/>
                <w:lang w:val="en-US" w:eastAsia="zh-CN"/>
              </w:rPr>
              <m:t>l</m:t>
            </m:r>
            <m:ctrlPr>
              <w:rPr>
                <w:rFonts w:hint="eastAsia" w:ascii="Cambria Math" w:hAnsi="Cambria Math" w:eastAsiaTheme="minorEastAsia" w:cstheme="minorEastAsia"/>
                <w:i/>
                <w:sz w:val="21"/>
                <w:szCs w:val="21"/>
                <w:lang w:val="en-US"/>
              </w:rPr>
            </m:ctrlPr>
          </m:sup>
        </m:sSup>
      </m:oMath>
      <w:r>
        <w:rPr>
          <w:rFonts w:hint="eastAsia" w:asciiTheme="minorEastAsia" w:hAnsiTheme="minorEastAsia" w:eastAsiaTheme="minorEastAsia" w:cstheme="minorEastAsia"/>
          <w:i w:val="0"/>
          <w:sz w:val="21"/>
          <w:szCs w:val="21"/>
          <w:lang w:val="en-US" w:eastAsia="zh-CN"/>
        </w:rPr>
        <w:t xml:space="preserve"> which is bounded from below。</w:t>
      </w:r>
      <w:r>
        <w:rPr>
          <w:rFonts w:hint="eastAsia" w:cs="宋体"/>
          <w:color w:val="000000"/>
          <w:kern w:val="0"/>
          <w:szCs w:val="21"/>
          <w:lang w:val="en-US" w:eastAsia="zh-CN"/>
        </w:rPr>
        <w:t>阿罗-德布鲁的经济系统竞争性均衡也称一般均衡。</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通过阿罗-得布鲁的这个模型，我们能够明白《国富论》的经济思想用形式逻辑表述是一般均衡，也明白一般均衡成立的前提条件。当学术共同体要检验和实证《国富论》经济思想的时候，就应该对阿罗-德布鲁模型的一般均衡做检验和实证，或者对一般均衡成立的前提条件做检验和实证。</w:t>
      </w:r>
    </w:p>
    <w:p>
      <w:pPr>
        <w:widowControl w:val="0"/>
        <w:numPr>
          <w:ilvl w:val="0"/>
          <w:numId w:val="0"/>
        </w:numPr>
        <w:ind w:firstLine="420"/>
        <w:jc w:val="both"/>
        <w:rPr>
          <w:rFonts w:hint="default" w:cs="宋体"/>
          <w:color w:val="000000"/>
          <w:kern w:val="0"/>
          <w:szCs w:val="21"/>
          <w:lang w:val="en-US" w:eastAsia="zh-CN"/>
        </w:rPr>
      </w:pPr>
      <w:r>
        <w:rPr>
          <w:rFonts w:hint="eastAsia" w:cs="宋体"/>
          <w:color w:val="000000"/>
          <w:kern w:val="0"/>
          <w:szCs w:val="21"/>
          <w:lang w:val="en-US" w:eastAsia="zh-CN"/>
        </w:rPr>
        <w:t>5，索洛模型和希克斯模型</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阿罗-德布鲁的一般均衡</w:t>
      </w:r>
      <w:r>
        <w:rPr>
          <w:rFonts w:hint="default" w:cs="宋体"/>
          <w:color w:val="000000"/>
          <w:kern w:val="0"/>
          <w:szCs w:val="21"/>
          <w:lang w:eastAsia="zh-CN"/>
        </w:rPr>
        <w:t>模型</w:t>
      </w:r>
      <w:r>
        <w:rPr>
          <w:rFonts w:hint="eastAsia" w:cs="宋体"/>
          <w:color w:val="000000"/>
          <w:kern w:val="0"/>
          <w:szCs w:val="21"/>
          <w:lang w:val="en-US" w:eastAsia="zh-CN"/>
        </w:rPr>
        <w:t>是微观模型。宏观经济学需要宏观模型。</w:t>
      </w:r>
      <w:r>
        <w:rPr>
          <w:rFonts w:hint="default" w:cs="宋体"/>
          <w:color w:val="000000"/>
          <w:kern w:val="0"/>
          <w:szCs w:val="21"/>
          <w:lang w:eastAsia="zh-CN"/>
        </w:rPr>
        <w:t>所谓宏观就从经济总量的视角看经济活动。</w:t>
      </w:r>
      <w:r>
        <w:rPr>
          <w:rFonts w:hint="eastAsia" w:cs="宋体"/>
          <w:color w:val="000000"/>
          <w:kern w:val="0"/>
          <w:szCs w:val="21"/>
          <w:lang w:val="en-US" w:eastAsia="zh-CN"/>
        </w:rPr>
        <w:t>可以认为索洛模型是对阿罗-德布鲁微观一般均衡模型的简化和宏观化。卢卡斯，罗默，曼昆等在索洛模型的基础上做进一步的完善，这构成新古典学派宏观经济理论数学模型。</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要构建宏观经济理论模型，</w:t>
      </w:r>
      <w:r>
        <w:rPr>
          <w:rFonts w:hint="eastAsia" w:cs="宋体"/>
          <w:color w:val="000000"/>
          <w:kern w:val="0"/>
          <w:szCs w:val="21"/>
          <w:lang w:val="en-US" w:eastAsia="zh-CN"/>
        </w:rPr>
        <w:t>首先</w:t>
      </w:r>
      <w:r>
        <w:rPr>
          <w:rFonts w:hint="default" w:cs="宋体"/>
          <w:color w:val="000000"/>
          <w:kern w:val="0"/>
          <w:szCs w:val="21"/>
          <w:lang w:eastAsia="zh-CN"/>
        </w:rPr>
        <w:t>要对宏观经济体系做数学意义上的理想简化。</w:t>
      </w:r>
      <w:r>
        <w:rPr>
          <w:rFonts w:hint="eastAsia" w:cs="宋体"/>
          <w:color w:val="000000"/>
          <w:kern w:val="0"/>
          <w:szCs w:val="21"/>
          <w:lang w:val="en-US" w:eastAsia="zh-CN"/>
        </w:rPr>
        <w:t>索洛模型假设</w:t>
      </w:r>
      <w:r>
        <w:rPr>
          <w:rFonts w:hint="default" w:cs="宋体"/>
          <w:color w:val="000000"/>
          <w:kern w:val="0"/>
          <w:szCs w:val="21"/>
          <w:lang w:eastAsia="zh-CN"/>
        </w:rPr>
        <w:t>经济</w:t>
      </w:r>
      <w:r>
        <w:rPr>
          <w:rFonts w:hint="eastAsia" w:cs="宋体"/>
          <w:color w:val="000000"/>
          <w:kern w:val="0"/>
          <w:szCs w:val="21"/>
          <w:lang w:val="en-US" w:eastAsia="zh-CN"/>
        </w:rPr>
        <w:t>只有一种商品，这种商品既用来消费也用来投资，其投资比例为固定的s，因而经济的资本积累为</w:t>
      </w:r>
      <w:r>
        <w:rPr>
          <w:rFonts w:hint="default" w:cs="宋体"/>
          <w:color w:val="000000"/>
          <w:kern w:val="0"/>
          <w:szCs w:val="21"/>
          <w:lang w:eastAsia="zh-CN"/>
        </w:rPr>
        <w:t xml:space="preserve"> </w:t>
      </w:r>
      <w:r>
        <w:rPr>
          <w:rFonts w:hint="default" w:cs="宋体"/>
          <w:color w:val="000000"/>
          <w:kern w:val="0"/>
          <w:szCs w:val="21"/>
          <w:lang w:val="en-US" w:eastAsia="zh-CN"/>
        </w:rPr>
        <w:t>(1) K = sY</w:t>
      </w:r>
      <w:r>
        <w:rPr>
          <w:rFonts w:hint="eastAsia" w:cs="宋体"/>
          <w:color w:val="000000"/>
          <w:kern w:val="0"/>
          <w:szCs w:val="21"/>
          <w:lang w:val="en-US" w:eastAsia="zh-CN"/>
        </w:rPr>
        <w:t>。假设劳动力为L，则经济产出为</w:t>
      </w:r>
      <w:r>
        <w:rPr>
          <w:rFonts w:hint="default" w:cs="宋体"/>
          <w:color w:val="000000"/>
          <w:kern w:val="0"/>
          <w:szCs w:val="21"/>
          <w:lang w:val="en-US" w:eastAsia="zh-CN"/>
        </w:rPr>
        <w:t xml:space="preserve"> (2) Y = F(K,L). </w:t>
      </w:r>
      <w:r>
        <w:rPr>
          <w:rFonts w:hint="eastAsia" w:cs="宋体"/>
          <w:color w:val="000000"/>
          <w:kern w:val="0"/>
          <w:szCs w:val="21"/>
          <w:lang w:val="en-US" w:eastAsia="zh-CN"/>
        </w:rPr>
        <w:t>假设r=K/L，n为人口每年增长率，</w:t>
      </w:r>
      <w:r>
        <w:rPr>
          <w:rFonts w:hint="default" w:cs="宋体"/>
          <w:color w:val="000000"/>
          <w:kern w:val="0"/>
          <w:szCs w:val="21"/>
          <w:lang w:eastAsia="zh-CN"/>
        </w:rPr>
        <w:t>则可以做出nr，sF（r，1）与r的关系曲线。</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索洛对nr，sF（r，1）与r的关系曲线做了很多情景讨论，下图1所示的是情景之一。</w:t>
      </w:r>
    </w:p>
    <w:p>
      <w:pPr>
        <w:widowControl w:val="0"/>
        <w:numPr>
          <w:ilvl w:val="0"/>
          <w:numId w:val="0"/>
        </w:numPr>
        <w:ind w:firstLine="420"/>
        <w:jc w:val="both"/>
        <w:rPr>
          <w:rFonts w:hint="default" w:cs="宋体"/>
          <w:color w:val="000000"/>
          <w:kern w:val="0"/>
          <w:szCs w:val="21"/>
          <w:lang w:eastAsia="zh-CN"/>
        </w:rPr>
      </w:pPr>
      <w:r>
        <w:rPr>
          <w:rFonts w:eastAsia="Times New Roman" w:cs="Times New Roman"/>
          <w:color w:val="000000"/>
          <w:spacing w:val="0"/>
          <w:w w:val="100"/>
          <w:position w:val="0"/>
          <w:lang w:eastAsia="en-US" w:bidi="en-US"/>
        </w:rPr>
        <w:drawing>
          <wp:inline distT="0" distB="0" distL="114300" distR="114300">
            <wp:extent cx="2877185" cy="2048510"/>
            <wp:effectExtent l="0" t="0" r="5715" b="889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12"/>
                    <a:stretch>
                      <a:fillRect/>
                    </a:stretch>
                  </pic:blipFill>
                  <pic:spPr>
                    <a:xfrm>
                      <a:off x="0" y="0"/>
                      <a:ext cx="2877185" cy="2048510"/>
                    </a:xfrm>
                    <a:prstGeom prst="rect">
                      <a:avLst/>
                    </a:prstGeom>
                  </pic:spPr>
                </pic:pic>
              </a:graphicData>
            </a:graphic>
          </wp:inline>
        </w:drawing>
      </w:r>
    </w:p>
    <w:p>
      <w:pPr>
        <w:widowControl w:val="0"/>
        <w:numPr>
          <w:ilvl w:val="0"/>
          <w:numId w:val="0"/>
        </w:numPr>
        <w:ind w:firstLine="420"/>
        <w:jc w:val="both"/>
        <w:rPr>
          <w:rFonts w:eastAsia="Times New Roman" w:cs="Times New Roman"/>
          <w:color w:val="000000"/>
          <w:spacing w:val="0"/>
          <w:w w:val="100"/>
          <w:position w:val="0"/>
          <w:lang w:eastAsia="en-US" w:bidi="en-US"/>
        </w:rPr>
      </w:pPr>
      <w:r>
        <w:rPr>
          <w:rFonts w:hint="default" w:cs="宋体"/>
          <w:color w:val="000000"/>
          <w:kern w:val="0"/>
          <w:szCs w:val="21"/>
          <w:lang w:eastAsia="zh-CN"/>
        </w:rPr>
        <w:t>索洛的结论是：这两条曲线存在多个的相交点，但存在一个稳定均衡点r*。</w:t>
      </w:r>
      <w:r>
        <w:rPr>
          <w:rFonts w:hint="eastAsia" w:cs="宋体"/>
          <w:color w:val="000000"/>
          <w:kern w:val="0"/>
          <w:szCs w:val="21"/>
          <w:lang w:eastAsia="zh-CN"/>
        </w:rPr>
        <w:t>（</w:t>
      </w:r>
      <w:r>
        <w:rPr>
          <w:rFonts w:ascii="Times New Roman" w:hAnsi="Times New Roman" w:eastAsia="Times New Roman" w:cs="Times New Roman"/>
          <w:color w:val="000000"/>
          <w:spacing w:val="0"/>
          <w:w w:val="100"/>
          <w:position w:val="0"/>
          <w:lang w:val="en-US" w:eastAsia="en-US" w:bidi="en-US"/>
        </w:rPr>
        <w:t xml:space="preserve">Thus the equilibrium value r* is </w:t>
      </w:r>
      <w:r>
        <w:rPr>
          <w:rFonts w:ascii="Times New Roman" w:hAnsi="Times New Roman" w:eastAsia="Times New Roman" w:cs="Times New Roman"/>
          <w:i/>
          <w:iCs/>
          <w:color w:val="000000"/>
          <w:spacing w:val="0"/>
          <w:w w:val="100"/>
          <w:position w:val="0"/>
          <w:lang w:val="en-US" w:eastAsia="en-US" w:bidi="en-US"/>
        </w:rPr>
        <w:t>stable.</w:t>
      </w:r>
      <w:r>
        <w:rPr>
          <w:rFonts w:hint="eastAsia" w:cs="Times New Roman"/>
          <w:i/>
          <w:iCs/>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 xml:space="preserve"> </w:t>
      </w:r>
      <w:r>
        <w:rPr>
          <w:rFonts w:eastAsia="Times New Roman" w:cs="Times New Roman"/>
          <w:color w:val="000000"/>
          <w:spacing w:val="0"/>
          <w:w w:val="100"/>
          <w:position w:val="0"/>
          <w:lang w:eastAsia="en-US" w:bidi="en-US"/>
        </w:rPr>
        <w:t>并认为这稳定均衡点r*的物理意义是：</w:t>
      </w:r>
      <w:r>
        <w:rPr>
          <w:rFonts w:ascii="Times New Roman" w:hAnsi="Times New Roman" w:eastAsia="Times New Roman" w:cs="Times New Roman"/>
          <w:color w:val="000000"/>
          <w:spacing w:val="0"/>
          <w:w w:val="100"/>
          <w:position w:val="0"/>
          <w:lang w:val="en-US" w:eastAsia="en-US" w:bidi="en-US"/>
        </w:rPr>
        <w:t>The process can be viewed in this way</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at any moment of time the available labor supply is given by (4) and the available stock of capital is also a datum. Since the real return to factors will adjust to bring about full employment of labor and capital</w:t>
      </w:r>
      <w:r>
        <w:rPr>
          <w:rFonts w:eastAsia="Times New Roman" w:cs="Times New Roman"/>
          <w:color w:val="000000"/>
          <w:spacing w:val="0"/>
          <w:w w:val="100"/>
          <w:position w:val="0"/>
          <w:lang w:eastAsia="en-US" w:bidi="en-US"/>
        </w:rPr>
        <w:t>（对于给定的劳动力和资本积累，要素真实回报率根据市场调节不断降低最终实现劳动力全就业和资本积累全利用，这时要素真实回报率是市场均衡回报率）</w:t>
      </w:r>
    </w:p>
    <w:p>
      <w:pPr>
        <w:widowControl w:val="0"/>
        <w:numPr>
          <w:ilvl w:val="0"/>
          <w:numId w:val="0"/>
        </w:numPr>
        <w:ind w:firstLine="420"/>
        <w:jc w:val="both"/>
        <w:rPr>
          <w:rFonts w:hint="default" w:cs="宋体"/>
          <w:color w:val="000000"/>
          <w:kern w:val="0"/>
          <w:szCs w:val="21"/>
          <w:lang w:eastAsia="zh-CN"/>
        </w:rPr>
      </w:pPr>
      <w:r>
        <w:rPr>
          <w:rFonts w:eastAsia="Times New Roman" w:cs="Times New Roman"/>
          <w:color w:val="000000"/>
          <w:spacing w:val="0"/>
          <w:w w:val="100"/>
          <w:position w:val="0"/>
          <w:lang w:eastAsia="en-US" w:bidi="en-US"/>
        </w:rPr>
        <w:t>必须指出的是，上述索洛对</w:t>
      </w:r>
      <w:r>
        <w:rPr>
          <w:rFonts w:hint="default" w:cs="宋体"/>
          <w:color w:val="000000"/>
          <w:kern w:val="0"/>
          <w:szCs w:val="21"/>
          <w:lang w:eastAsia="zh-CN"/>
        </w:rPr>
        <w:t>nr与sF（r，1）两条曲线的认知是索洛关于经济活动规律的假设，该假设需要得到现实经济数据的检验。</w:t>
      </w:r>
    </w:p>
    <w:p>
      <w:pPr>
        <w:widowControl w:val="0"/>
        <w:numPr>
          <w:ilvl w:val="0"/>
          <w:numId w:val="0"/>
        </w:numPr>
        <w:ind w:firstLine="420"/>
        <w:jc w:val="both"/>
        <w:rPr>
          <w:rFonts w:hint="eastAsia"/>
          <w:lang w:val="en-US" w:eastAsia="zh-CN"/>
        </w:rPr>
      </w:pPr>
      <w:r>
        <w:rPr>
          <w:rFonts w:hint="eastAsia" w:cs="Times New Roman"/>
          <w:color w:val="000000"/>
          <w:spacing w:val="0"/>
          <w:w w:val="100"/>
          <w:position w:val="0"/>
          <w:lang w:val="en-US" w:eastAsia="zh-CN" w:bidi="en-US"/>
        </w:rPr>
        <w:t>1920-30年代经济大萧条后，凯恩斯对以《国富论》为思想基础的当时主流经济理论进行反思，</w:t>
      </w:r>
      <w:r>
        <w:rPr>
          <w:rFonts w:hint="eastAsia"/>
        </w:rPr>
        <w:t>认为自由市场经济能自身实现最优化发展是一种理想情况，现实经济活动由于工资粘性，市场经济主体信息不完备和不够理性等原因不能自身实现最优化</w:t>
      </w:r>
      <w:r>
        <w:rPr>
          <w:rFonts w:hint="eastAsia"/>
          <w:lang w:val="en-US" w:eastAsia="zh-CN"/>
        </w:rPr>
        <w:t>发展，将出现劳动力失业。政府应该提高社会支出，提高社会需求以降低失业率。但凯恩斯没有构建宏观经济理论数学模型。</w:t>
      </w:r>
    </w:p>
    <w:p>
      <w:pPr>
        <w:widowControl w:val="0"/>
        <w:numPr>
          <w:ilvl w:val="0"/>
          <w:numId w:val="0"/>
        </w:numPr>
        <w:ind w:firstLine="420"/>
        <w:jc w:val="both"/>
        <w:rPr>
          <w:rFonts w:hint="default"/>
          <w:lang w:val="en-US" w:eastAsia="zh-CN"/>
        </w:rPr>
      </w:pPr>
      <w:r>
        <w:rPr>
          <w:rFonts w:hint="eastAsia"/>
          <w:lang w:val="en-US" w:eastAsia="zh-CN"/>
        </w:rPr>
        <w:t>与凯恩斯同时代的经济学家希克思在吸收凯恩斯经济思想的基础上构建了宏观经济理论数学模型。该模型以经济产出I和市场利率i为坐标，以储蓄率s和货币供应量（流动性）L为变量，做出著名的IS-LM关系曲线图。这两条曲线的交叉点就是经济活动的均衡点，对</w:t>
      </w:r>
      <w:r>
        <w:rPr>
          <w:rFonts w:hint="default"/>
          <w:lang w:eastAsia="zh-CN"/>
        </w:rPr>
        <w:t>应</w:t>
      </w:r>
      <w:r>
        <w:rPr>
          <w:rFonts w:hint="eastAsia"/>
          <w:lang w:val="en-US" w:eastAsia="zh-CN"/>
        </w:rPr>
        <w:t>的政府支出和经济产出就是均衡（稳定优化）的政府支出和经济产出。</w:t>
      </w:r>
    </w:p>
    <w:p>
      <w:pPr>
        <w:widowControl w:val="0"/>
        <w:numPr>
          <w:ilvl w:val="0"/>
          <w:numId w:val="0"/>
        </w:numPr>
        <w:ind w:firstLine="420"/>
        <w:jc w:val="both"/>
        <w:rPr>
          <w:rFonts w:hint="eastAsia"/>
          <w:lang w:val="en-US" w:eastAsia="zh-CN"/>
        </w:rPr>
      </w:pPr>
      <w:r>
        <w:rPr>
          <w:rFonts w:hint="eastAsia" w:eastAsia="宋体" w:cs="Times New Roman"/>
          <w:color w:val="000000"/>
          <w:spacing w:val="0"/>
          <w:w w:val="100"/>
          <w:position w:val="0"/>
          <w:lang w:eastAsia="zh-CN" w:bidi="en-US"/>
        </w:rPr>
        <w:drawing>
          <wp:inline distT="0" distB="0" distL="114300" distR="114300">
            <wp:extent cx="3638550" cy="3552825"/>
            <wp:effectExtent l="0" t="0" r="6350" b="3175"/>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
                    <pic:cNvPicPr>
                      <a:picLocks noChangeAspect="1"/>
                    </pic:cNvPicPr>
                  </pic:nvPicPr>
                  <pic:blipFill>
                    <a:blip r:embed="rId13"/>
                    <a:stretch>
                      <a:fillRect/>
                    </a:stretch>
                  </pic:blipFill>
                  <pic:spPr>
                    <a:xfrm>
                      <a:off x="0" y="0"/>
                      <a:ext cx="3638550" cy="3552825"/>
                    </a:xfrm>
                    <a:prstGeom prst="rect">
                      <a:avLst/>
                    </a:prstGeom>
                  </pic:spPr>
                </pic:pic>
              </a:graphicData>
            </a:graphic>
          </wp:inline>
        </w:drawing>
      </w:r>
    </w:p>
    <w:p>
      <w:pPr>
        <w:widowControl w:val="0"/>
        <w:numPr>
          <w:ilvl w:val="0"/>
          <w:numId w:val="0"/>
        </w:numPr>
        <w:ind w:firstLine="420"/>
        <w:jc w:val="both"/>
        <w:rPr>
          <w:rFonts w:hint="default" w:cs="宋体"/>
          <w:color w:val="000000"/>
          <w:kern w:val="0"/>
          <w:szCs w:val="21"/>
          <w:lang w:eastAsia="zh-CN"/>
        </w:rPr>
      </w:pPr>
      <w:r>
        <w:rPr>
          <w:rFonts w:hint="eastAsia" w:cs="Times New Roman"/>
          <w:color w:val="000000"/>
          <w:spacing w:val="0"/>
          <w:w w:val="100"/>
          <w:position w:val="0"/>
          <w:lang w:val="en-US" w:eastAsia="zh-CN" w:bidi="en-US"/>
        </w:rPr>
        <w:t>同样</w:t>
      </w:r>
      <w:r>
        <w:rPr>
          <w:rFonts w:eastAsia="Times New Roman" w:cs="Times New Roman"/>
          <w:color w:val="000000"/>
          <w:spacing w:val="0"/>
          <w:w w:val="100"/>
          <w:position w:val="0"/>
          <w:lang w:eastAsia="en-US" w:bidi="en-US"/>
        </w:rPr>
        <w:t>必须指出的是，上述</w:t>
      </w:r>
      <w:r>
        <w:rPr>
          <w:rFonts w:hint="eastAsia" w:cs="Times New Roman"/>
          <w:color w:val="000000"/>
          <w:spacing w:val="0"/>
          <w:w w:val="100"/>
          <w:position w:val="0"/>
          <w:lang w:val="en-US" w:eastAsia="zh-CN" w:bidi="en-US"/>
        </w:rPr>
        <w:t>希克思关于</w:t>
      </w:r>
      <w:r>
        <w:rPr>
          <w:rFonts w:hint="eastAsia"/>
          <w:lang w:val="en-US" w:eastAsia="zh-CN"/>
        </w:rPr>
        <w:t>IS-LM这两条曲线的交叉点就是经济活动的均衡点是希克斯</w:t>
      </w:r>
      <w:r>
        <w:rPr>
          <w:rFonts w:eastAsia="Times New Roman" w:cs="Times New Roman"/>
          <w:color w:val="000000"/>
          <w:spacing w:val="0"/>
          <w:w w:val="100"/>
          <w:position w:val="0"/>
          <w:lang w:eastAsia="en-US" w:bidi="en-US"/>
        </w:rPr>
        <w:t>索</w:t>
      </w:r>
      <w:r>
        <w:rPr>
          <w:rFonts w:hint="default" w:cs="宋体"/>
          <w:color w:val="000000"/>
          <w:kern w:val="0"/>
          <w:szCs w:val="21"/>
          <w:lang w:eastAsia="zh-CN"/>
        </w:rPr>
        <w:t>关于经济活动规律的假设，该假设需要得到现实经济数据的检验。</w:t>
      </w:r>
    </w:p>
    <w:p>
      <w:pPr>
        <w:numPr>
          <w:ilvl w:val="0"/>
          <w:numId w:val="2"/>
        </w:numPr>
        <w:ind w:left="0" w:leftChars="0" w:firstLine="420" w:firstLineChars="200"/>
        <w:rPr>
          <w:rFonts w:hint="eastAsia" w:cs="Times New Roman"/>
          <w:color w:val="000000"/>
          <w:spacing w:val="0"/>
          <w:w w:val="100"/>
          <w:position w:val="0"/>
          <w:lang w:val="en-US" w:eastAsia="zh-CN" w:bidi="en-US"/>
        </w:rPr>
      </w:pPr>
      <w:r>
        <w:rPr>
          <w:rFonts w:hint="eastAsia" w:cs="Times New Roman"/>
          <w:color w:val="000000"/>
          <w:spacing w:val="0"/>
          <w:w w:val="100"/>
          <w:position w:val="0"/>
          <w:lang w:val="en-US" w:eastAsia="zh-CN" w:bidi="en-US"/>
        </w:rPr>
        <w:t>本文对《国富论》</w:t>
      </w:r>
      <w:r>
        <w:rPr>
          <w:rFonts w:hint="eastAsia" w:ascii="微软雅黑" w:hAnsi="微软雅黑" w:eastAsia="微软雅黑" w:cs="微软雅黑"/>
          <w:color w:val="000000"/>
          <w:spacing w:val="0"/>
          <w:w w:val="100"/>
          <w:position w:val="0"/>
          <w:lang w:val="en-US" w:eastAsia="zh-CN" w:bidi="en-US"/>
        </w:rPr>
        <w:t>、</w:t>
      </w:r>
      <w:r>
        <w:rPr>
          <w:rFonts w:hint="eastAsia" w:cs="Times New Roman"/>
          <w:color w:val="000000"/>
          <w:spacing w:val="0"/>
          <w:w w:val="100"/>
          <w:position w:val="0"/>
          <w:lang w:val="en-US" w:eastAsia="zh-CN" w:bidi="en-US"/>
        </w:rPr>
        <w:t>《通论》</w:t>
      </w:r>
      <w:r>
        <w:rPr>
          <w:rFonts w:hint="eastAsia" w:ascii="微软雅黑" w:hAnsi="微软雅黑" w:eastAsia="微软雅黑" w:cs="微软雅黑"/>
          <w:color w:val="000000"/>
          <w:spacing w:val="0"/>
          <w:w w:val="100"/>
          <w:position w:val="0"/>
          <w:lang w:val="en-US" w:eastAsia="zh-CN" w:bidi="en-US"/>
        </w:rPr>
        <w:t>、</w:t>
      </w:r>
      <w:r>
        <w:rPr>
          <w:rFonts w:hint="eastAsia" w:cs="Times New Roman"/>
          <w:color w:val="000000"/>
          <w:spacing w:val="0"/>
          <w:w w:val="100"/>
          <w:position w:val="0"/>
          <w:lang w:val="en-US" w:eastAsia="zh-CN" w:bidi="en-US"/>
        </w:rPr>
        <w:t>索洛模型</w:t>
      </w:r>
      <w:r>
        <w:rPr>
          <w:rFonts w:hint="eastAsia" w:ascii="微软雅黑" w:hAnsi="微软雅黑" w:eastAsia="微软雅黑" w:cs="微软雅黑"/>
          <w:color w:val="000000"/>
          <w:spacing w:val="0"/>
          <w:w w:val="100"/>
          <w:position w:val="0"/>
          <w:lang w:val="en-US" w:eastAsia="zh-CN" w:bidi="en-US"/>
        </w:rPr>
        <w:t>、</w:t>
      </w:r>
      <w:r>
        <w:rPr>
          <w:rFonts w:hint="eastAsia" w:cs="Times New Roman"/>
          <w:color w:val="000000"/>
          <w:spacing w:val="0"/>
          <w:w w:val="100"/>
          <w:position w:val="0"/>
          <w:lang w:val="en-US" w:eastAsia="zh-CN" w:bidi="en-US"/>
        </w:rPr>
        <w:t>希克斯</w:t>
      </w:r>
      <w:r>
        <w:rPr>
          <w:rFonts w:eastAsia="Times New Roman" w:cs="Times New Roman"/>
          <w:color w:val="000000"/>
          <w:spacing w:val="0"/>
          <w:w w:val="100"/>
          <w:position w:val="0"/>
          <w:lang w:eastAsia="en-US" w:bidi="en-US"/>
        </w:rPr>
        <w:t>模型</w:t>
      </w:r>
      <w:r>
        <w:rPr>
          <w:rFonts w:hint="eastAsia" w:cs="Times New Roman"/>
          <w:color w:val="000000"/>
          <w:spacing w:val="0"/>
          <w:w w:val="100"/>
          <w:position w:val="0"/>
          <w:lang w:val="en-US" w:eastAsia="zh-CN" w:bidi="en-US"/>
        </w:rPr>
        <w:t>等</w:t>
      </w:r>
      <w:r>
        <w:rPr>
          <w:rFonts w:eastAsia="Times New Roman" w:cs="Times New Roman"/>
          <w:color w:val="000000"/>
          <w:spacing w:val="0"/>
          <w:w w:val="100"/>
          <w:position w:val="0"/>
          <w:lang w:eastAsia="en-US" w:bidi="en-US"/>
        </w:rPr>
        <w:t>的</w:t>
      </w:r>
      <w:r>
        <w:rPr>
          <w:rFonts w:hint="eastAsia" w:cs="Times New Roman"/>
          <w:color w:val="000000"/>
          <w:spacing w:val="0"/>
          <w:w w:val="100"/>
          <w:position w:val="0"/>
          <w:lang w:val="en-US" w:eastAsia="zh-CN" w:bidi="en-US"/>
        </w:rPr>
        <w:t>改进</w:t>
      </w:r>
    </w:p>
    <w:p>
      <w:pPr>
        <w:ind w:left="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改革开放以来取得的巨大成就是重大经济理论现象，也是新古典学派的重大困惑。科学是科学家主观构建的关于研究目标发展规律的形式逻辑体系。从科学的角度讲，一个理论的重大困惑往往意味着该理论基础逻辑的重大缺陷，意味着该理论的重大创新需求。</w:t>
      </w:r>
    </w:p>
    <w:p>
      <w:pPr>
        <w:rPr>
          <w:rFonts w:hint="eastAsia"/>
          <w:lang w:val="en-US" w:eastAsia="zh-CN"/>
        </w:rPr>
      </w:pPr>
      <w:r>
        <w:rPr>
          <w:rFonts w:hint="eastAsia" w:asciiTheme="minorEastAsia" w:hAnsiTheme="minorEastAsia" w:eastAsiaTheme="minorEastAsia" w:cstheme="minorEastAsia"/>
          <w:sz w:val="21"/>
          <w:szCs w:val="21"/>
          <w:lang w:val="en-US" w:eastAsia="zh-CN"/>
        </w:rPr>
        <w:t>本文旨在对主流经济理论新古典学派和凯恩斯学派做出改进，因此首先讨论科学，指出科学是科学家主观构建的逻辑体系。从科学的角度讲，经济思想和哲学思想等社会思想不属于严格意义上的科学，因此提出数学化科学方法论，</w:t>
      </w:r>
      <w:r>
        <w:rPr>
          <w:rFonts w:hint="eastAsia"/>
        </w:rPr>
        <w:t>提出遵循数学化科学方法论的经济理论</w:t>
      </w:r>
      <w:r>
        <w:rPr>
          <w:rFonts w:hint="eastAsia"/>
          <w:lang w:eastAsia="zh-CN"/>
        </w:rPr>
        <w:t>，</w:t>
      </w:r>
      <w:r>
        <w:rPr>
          <w:rFonts w:hint="eastAsia"/>
          <w:lang w:val="en-US" w:eastAsia="zh-CN"/>
        </w:rPr>
        <w:t>即经济理论数学模型</w:t>
      </w:r>
      <w:r>
        <w:rPr>
          <w:rFonts w:hint="eastAsia"/>
          <w:lang w:eastAsia="zh-CN"/>
        </w:rPr>
        <w:t>。</w:t>
      </w:r>
      <w:r>
        <w:rPr>
          <w:rFonts w:hint="eastAsia"/>
          <w:lang w:val="en-US" w:eastAsia="zh-CN"/>
        </w:rPr>
        <w:t>从经济理论数学模型的角度看，阿罗-德布鲁的一般均衡模型是《国富论》经济思想的数学模型化，索洛模型是对阿罗-德布鲁的一般均衡微观模型的简化和宏观化。凯恩斯本人没有构建宏观经济理论数学模型。希克斯的IS-LM的宏观经济理论数学模型与《国富论》的经济思想不一致，与凯恩斯《通论》的思想有共同点</w:t>
      </w:r>
      <w:r>
        <w:rPr>
          <w:rFonts w:hint="default"/>
          <w:lang w:eastAsia="zh-CN"/>
        </w:rPr>
        <w:t>。</w:t>
      </w:r>
      <w:r>
        <w:rPr>
          <w:rFonts w:hint="eastAsia"/>
          <w:lang w:val="en-US" w:eastAsia="zh-CN"/>
        </w:rPr>
        <w:t>后来的学者把希克斯的IS-LM模型称为凯恩斯学派经济理论数学模型。</w:t>
      </w:r>
    </w:p>
    <w:p>
      <w:pPr>
        <w:rPr>
          <w:rFonts w:hint="eastAsia" w:eastAsia="宋体"/>
          <w:lang w:val="en-US" w:eastAsia="zh-CN"/>
        </w:rPr>
      </w:pPr>
      <w:r>
        <w:rPr>
          <w:rFonts w:hint="eastAsia"/>
          <w:lang w:val="en-US" w:eastAsia="zh-CN"/>
        </w:rPr>
        <w:t>本文附录1和附录2讨论了阿罗-德布鲁一般均衡模型成立的条件，指出投资品商品交换存在竞争性均衡的前提条件不成立，指出商品生产存在竞争性均衡的前提条件不成立。</w:t>
      </w:r>
      <w:r>
        <w:rPr>
          <w:rFonts w:hint="eastAsia"/>
        </w:rPr>
        <w:t>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rPr>
        <w:t>。</w:t>
      </w:r>
      <w:r>
        <w:rPr>
          <w:rFonts w:hint="eastAsia"/>
          <w:lang w:val="en-US" w:eastAsia="zh-CN"/>
        </w:rPr>
        <w:t>这个现实</w:t>
      </w:r>
      <w:r>
        <w:rPr>
          <w:rFonts w:hint="default"/>
          <w:lang w:eastAsia="zh-CN"/>
        </w:rPr>
        <w:t>经济数据</w:t>
      </w:r>
      <w:r>
        <w:rPr>
          <w:rFonts w:hint="eastAsia"/>
          <w:lang w:val="en-US" w:eastAsia="zh-CN"/>
        </w:rPr>
        <w:t>也意味着阿罗-德布鲁没有政府干预的自由市场存在一般均衡的假设过强。本文因此提出新的关于市场经济的微观假设，即本文第三节</w:t>
      </w:r>
      <w:r>
        <w:rPr>
          <w:rFonts w:hint="eastAsia"/>
        </w:rPr>
        <w:t>关于市场经济三个互相独立的基本规律假设</w:t>
      </w:r>
      <w:r>
        <w:rPr>
          <w:rFonts w:hint="eastAsia"/>
          <w:lang w:eastAsia="zh-CN"/>
        </w:rPr>
        <w:t>。</w:t>
      </w:r>
    </w:p>
    <w:p>
      <w:pPr>
        <w:rPr>
          <w:rFonts w:hint="default" w:eastAsia="宋体" w:cs="Times New Roman"/>
          <w:color w:val="000000"/>
          <w:spacing w:val="0"/>
          <w:w w:val="100"/>
          <w:position w:val="0"/>
          <w:lang w:val="en-US" w:eastAsia="zh-CN" w:bidi="en-US"/>
        </w:rPr>
      </w:pPr>
      <w:r>
        <w:rPr>
          <w:rFonts w:hint="eastAsia"/>
          <w:lang w:val="en-US" w:eastAsia="zh-CN"/>
        </w:rPr>
        <w:t>无论是</w:t>
      </w:r>
      <w:r>
        <w:rPr>
          <w:rFonts w:hint="eastAsia"/>
        </w:rPr>
        <w:t>新古典</w:t>
      </w:r>
      <w:r>
        <w:rPr>
          <w:rFonts w:hint="default"/>
        </w:rPr>
        <w:t>学派</w:t>
      </w:r>
      <w:r>
        <w:rPr>
          <w:rFonts w:hint="eastAsia"/>
          <w:lang w:val="en-US" w:eastAsia="zh-CN"/>
        </w:rPr>
        <w:t>的索洛宏观数学模型还是</w:t>
      </w:r>
      <w:r>
        <w:rPr>
          <w:rFonts w:hint="eastAsia"/>
        </w:rPr>
        <w:t>凯恩斯学派</w:t>
      </w:r>
      <w:r>
        <w:rPr>
          <w:rFonts w:hint="eastAsia"/>
          <w:lang w:val="en-US" w:eastAsia="zh-CN"/>
        </w:rPr>
        <w:t>希克斯的宏观数学模型，其关于宏观经济变量关系曲线特性的认知都属于一种假设，需要现实经济数据的检验。</w:t>
      </w:r>
      <w:r>
        <w:rPr>
          <w:rFonts w:hint="eastAsia"/>
        </w:rPr>
        <w:t>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lang w:eastAsia="zh-CN"/>
        </w:rPr>
        <w:t>，</w:t>
      </w:r>
      <w:r>
        <w:rPr>
          <w:rFonts w:hint="eastAsia"/>
          <w:lang w:val="en-US" w:eastAsia="zh-CN"/>
        </w:rPr>
        <w:t>用这个数据检验索洛模型和希克斯模型，这两个模型是不成立的。因为索洛模型和希克斯模型都认为市场经济存在优化稳定均衡解，上述数据不支持</w:t>
      </w:r>
      <w:r>
        <w:rPr>
          <w:rFonts w:hint="default"/>
          <w:lang w:eastAsia="zh-CN"/>
        </w:rPr>
        <w:t>市场经济活动存在</w:t>
      </w:r>
      <w:r>
        <w:rPr>
          <w:rFonts w:hint="eastAsia"/>
          <w:lang w:val="en-US" w:eastAsia="zh-CN"/>
        </w:rPr>
        <w:t>优化稳定均衡解的说法。为此本文提出新的宏观经济变量关系曲线，即</w:t>
      </w:r>
      <w:r>
        <w:rPr>
          <w:rFonts w:hint="eastAsia"/>
        </w:rPr>
        <w:t>名义价格社会产出与货币供应量增长率、不变价格社会产出与货币供应量增长率</w:t>
      </w:r>
      <w:r>
        <w:rPr>
          <w:rFonts w:hint="eastAsia" w:ascii="微软雅黑" w:hAnsi="微软雅黑" w:eastAsia="微软雅黑" w:cs="微软雅黑"/>
        </w:rPr>
        <w:t>、</w:t>
      </w:r>
      <w:r>
        <w:rPr>
          <w:rFonts w:hint="eastAsia"/>
        </w:rPr>
        <w:t>通货膨胀率与货币供应量增长率</w:t>
      </w:r>
      <w:r>
        <w:rPr>
          <w:rFonts w:hint="eastAsia"/>
          <w:lang w:val="en-US" w:eastAsia="zh-CN"/>
        </w:rPr>
        <w:t>三条</w:t>
      </w:r>
      <w:r>
        <w:rPr>
          <w:rFonts w:hint="eastAsia"/>
        </w:rPr>
        <w:t>关系曲线</w:t>
      </w:r>
      <w:r>
        <w:rPr>
          <w:rFonts w:hint="eastAsia"/>
          <w:lang w:eastAsia="zh-CN"/>
        </w:rPr>
        <w:t>，</w:t>
      </w:r>
      <w:r>
        <w:rPr>
          <w:rFonts w:hint="eastAsia"/>
          <w:lang w:val="en-US" w:eastAsia="zh-CN"/>
        </w:rPr>
        <w:t>并对这三条关系曲线的特性做出如下图所示的假设，把通货膨胀率控制在政策目标之下作为政府政策的约束。</w:t>
      </w:r>
    </w:p>
    <w:p>
      <w:pPr>
        <w:numPr>
          <w:ilvl w:val="0"/>
          <w:numId w:val="0"/>
        </w:numPr>
        <w:ind w:leftChars="200"/>
        <w:rPr>
          <w:rFonts w:eastAsia="Times New Roman" w:cs="Times New Roman"/>
          <w:color w:val="000000"/>
          <w:spacing w:val="0"/>
          <w:w w:val="100"/>
          <w:position w:val="0"/>
          <w:lang w:eastAsia="en-US" w:bidi="en-US"/>
        </w:rPr>
      </w:pPr>
      <w:r>
        <w:drawing>
          <wp:inline distT="0" distB="0" distL="0" distR="0">
            <wp:extent cx="3364865" cy="2469515"/>
            <wp:effectExtent l="0" t="0" r="63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l="22772" t="28942" r="34096" b="14786"/>
                    <a:stretch>
                      <a:fillRect/>
                    </a:stretch>
                  </pic:blipFill>
                  <pic:spPr>
                    <a:xfrm>
                      <a:off x="0" y="0"/>
                      <a:ext cx="3381922" cy="2482480"/>
                    </a:xfrm>
                    <a:prstGeom prst="rect">
                      <a:avLst/>
                    </a:prstGeom>
                    <a:noFill/>
                    <a:ln>
                      <a:noFill/>
                    </a:ln>
                  </pic:spPr>
                </pic:pic>
              </a:graphicData>
            </a:graphic>
          </wp:inline>
        </w:drawing>
      </w:r>
    </w:p>
    <w:p>
      <w:pPr>
        <w:ind w:left="0" w:leftChars="0" w:firstLine="0" w:firstLineChars="0"/>
        <w:rPr>
          <w:rFonts w:hint="eastAsia" w:cs="Times New Roman"/>
          <w:color w:val="000000"/>
          <w:spacing w:val="0"/>
          <w:w w:val="100"/>
          <w:position w:val="0"/>
          <w:lang w:val="en-US" w:eastAsia="zh-CN" w:bidi="en-US"/>
        </w:rPr>
      </w:pPr>
    </w:p>
    <w:p>
      <w:pPr>
        <w:widowControl w:val="0"/>
        <w:numPr>
          <w:ilvl w:val="0"/>
          <w:numId w:val="0"/>
        </w:numPr>
        <w:ind w:firstLine="420"/>
        <w:jc w:val="both"/>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color w:val="000000"/>
          <w:spacing w:val="0"/>
          <w:w w:val="100"/>
          <w:position w:val="0"/>
          <w:lang w:val="en-US" w:eastAsia="zh-CN" w:bidi="en-US"/>
        </w:rPr>
        <w:t>索洛模型和希克斯模型的解是优化稳定均衡均解，本文模型不变价格社会产出</w:t>
      </w:r>
      <m:oMath>
        <m:sSup>
          <m:sSupPr>
            <m:ctrlPr>
              <w:rPr>
                <w:rFonts w:hint="eastAsia" w:ascii="Cambria Math" w:hAnsi="Cambria Math" w:eastAsiaTheme="minorEastAsia" w:cstheme="minorEastAsia"/>
                <w:i/>
                <w:color w:val="000000"/>
                <w:spacing w:val="0"/>
                <w:w w:val="100"/>
                <w:position w:val="0"/>
                <w:lang w:val="en-US" w:bidi="en-US"/>
              </w:rPr>
            </m:ctrlPr>
          </m:sSupPr>
          <m:e>
            <m:r>
              <m:rPr/>
              <w:rPr>
                <w:rFonts w:hint="eastAsia" w:ascii="Cambria Math" w:hAnsi="Cambria Math" w:eastAsiaTheme="minorEastAsia" w:cstheme="minorEastAsia"/>
                <w:color w:val="000000"/>
                <w:spacing w:val="0"/>
                <w:w w:val="100"/>
                <w:position w:val="0"/>
                <w:lang w:val="en-US" w:eastAsia="zh-CN" w:bidi="en-US"/>
              </w:rPr>
              <m:t>y</m:t>
            </m:r>
            <m:ctrlPr>
              <w:rPr>
                <w:rFonts w:hint="eastAsia" w:ascii="Cambria Math" w:hAnsi="Cambria Math" w:eastAsiaTheme="minorEastAsia" w:cstheme="minorEastAsia"/>
                <w:i/>
                <w:color w:val="000000"/>
                <w:spacing w:val="0"/>
                <w:w w:val="100"/>
                <w:position w:val="0"/>
                <w:lang w:val="en-US" w:bidi="en-US"/>
              </w:rPr>
            </m:ctrlPr>
          </m:e>
          <m:sup>
            <m:r>
              <m:rPr/>
              <w:rPr>
                <w:rFonts w:hint="eastAsia" w:ascii="Cambria Math" w:hAnsi="Cambria Math" w:eastAsiaTheme="minorEastAsia" w:cstheme="minorEastAsia"/>
                <w:color w:val="000000"/>
                <w:spacing w:val="0"/>
                <w:w w:val="100"/>
                <w:position w:val="0"/>
                <w:lang w:val="en-US" w:eastAsia="zh-CN" w:bidi="en-US"/>
              </w:rPr>
              <m:t>'</m:t>
            </m:r>
            <m:ctrlPr>
              <w:rPr>
                <w:rFonts w:hint="eastAsia" w:ascii="Cambria Math" w:hAnsi="Cambria Math" w:eastAsiaTheme="minorEastAsia" w:cstheme="minorEastAsia"/>
                <w:i/>
                <w:color w:val="000000"/>
                <w:spacing w:val="0"/>
                <w:w w:val="100"/>
                <w:position w:val="0"/>
                <w:lang w:val="en-US" w:bidi="en-US"/>
              </w:rPr>
            </m:ctrlPr>
          </m:sup>
        </m:sSup>
      </m:oMath>
      <w:r>
        <w:rPr>
          <w:rFonts w:hint="eastAsia" w:asciiTheme="minorEastAsia" w:hAnsiTheme="minorEastAsia" w:eastAsiaTheme="minorEastAsia" w:cstheme="minorEastAsia"/>
          <w:i w:val="0"/>
          <w:color w:val="000000"/>
          <w:spacing w:val="0"/>
          <w:w w:val="100"/>
          <w:position w:val="0"/>
          <w:lang w:val="en-US" w:eastAsia="zh-CN" w:bidi="en-US"/>
        </w:rPr>
        <w:t>的解是一个范围，</w:t>
      </w:r>
      <m:oMath>
        <m:sSup>
          <m:sSupPr>
            <m:ctrlPr>
              <w:rPr>
                <w:rFonts w:hint="eastAsia" w:ascii="Cambria Math" w:hAnsi="Cambria Math" w:eastAsiaTheme="minorEastAsia" w:cstheme="minorEastAsia"/>
                <w:i/>
                <w:color w:val="000000"/>
                <w:spacing w:val="0"/>
                <w:w w:val="100"/>
                <w:position w:val="0"/>
                <w:lang w:val="en-US" w:bidi="en-US"/>
              </w:rPr>
            </m:ctrlPr>
          </m:sSupPr>
          <m:e>
            <m:r>
              <m:rPr/>
              <w:rPr>
                <w:rFonts w:hint="eastAsia" w:ascii="Cambria Math" w:hAnsi="Cambria Math" w:eastAsiaTheme="minorEastAsia" w:cstheme="minorEastAsia"/>
                <w:color w:val="000000"/>
                <w:spacing w:val="0"/>
                <w:w w:val="100"/>
                <w:position w:val="0"/>
                <w:lang w:val="en-US" w:eastAsia="zh-CN" w:bidi="en-US"/>
              </w:rPr>
              <m:t>y</m:t>
            </m:r>
            <m:ctrlPr>
              <w:rPr>
                <w:rFonts w:hint="eastAsia" w:ascii="Cambria Math" w:hAnsi="Cambria Math" w:eastAsiaTheme="minorEastAsia" w:cstheme="minorEastAsia"/>
                <w:i/>
                <w:color w:val="000000"/>
                <w:spacing w:val="0"/>
                <w:w w:val="100"/>
                <w:position w:val="0"/>
                <w:lang w:val="en-US" w:bidi="en-US"/>
              </w:rPr>
            </m:ctrlPr>
          </m:e>
          <m:sup>
            <m:r>
              <m:rPr/>
              <w:rPr>
                <w:rFonts w:hint="eastAsia" w:ascii="Cambria Math" w:hAnsi="Cambria Math" w:eastAsiaTheme="minorEastAsia" w:cstheme="minorEastAsia"/>
                <w:color w:val="000000"/>
                <w:spacing w:val="0"/>
                <w:w w:val="100"/>
                <w:position w:val="0"/>
                <w:lang w:val="en-US" w:eastAsia="zh-CN" w:bidi="en-US"/>
              </w:rPr>
              <m:t>'</m:t>
            </m:r>
            <m:ctrlPr>
              <w:rPr>
                <w:rFonts w:hint="eastAsia" w:ascii="Cambria Math" w:hAnsi="Cambria Math" w:eastAsiaTheme="minorEastAsia" w:cstheme="minorEastAsia"/>
                <w:i/>
                <w:color w:val="000000"/>
                <w:spacing w:val="0"/>
                <w:w w:val="100"/>
                <w:position w:val="0"/>
                <w:lang w:val="en-US" w:bidi="en-US"/>
              </w:rPr>
            </m:ctrlPr>
          </m:sup>
        </m:sSup>
      </m:oMath>
      <w:r>
        <w:rPr>
          <w:rFonts w:hint="eastAsia" w:asciiTheme="minorEastAsia" w:hAnsiTheme="minorEastAsia" w:eastAsiaTheme="minorEastAsia" w:cstheme="minorEastAsia"/>
          <w:i w:val="0"/>
          <w:color w:val="000000"/>
          <w:spacing w:val="0"/>
          <w:w w:val="100"/>
          <w:position w:val="0"/>
          <w:lang w:val="en-US" w:bidi="en-US"/>
        </w:rPr>
        <w:t>∈</w:t>
      </w:r>
      <w:r>
        <w:rPr>
          <w:rFonts w:hint="eastAsia" w:asciiTheme="minorEastAsia" w:hAnsiTheme="minorEastAsia" w:eastAsiaTheme="minorEastAsia" w:cstheme="minorEastAsia"/>
          <w:i w:val="0"/>
          <w:color w:val="000000"/>
          <w:spacing w:val="0"/>
          <w:w w:val="100"/>
          <w:position w:val="0"/>
          <w:lang w:val="en-US" w:eastAsia="zh-CN" w:bidi="en-US"/>
        </w:rPr>
        <w:t>（0，a），政府政策可以改变这个范围。本文模型的核心是政府通过政府投资和货币政策调节</w:t>
      </w:r>
      <w:r>
        <w:rPr>
          <w:rFonts w:hint="eastAsia" w:asciiTheme="minorEastAsia" w:hAnsiTheme="minorEastAsia" w:eastAsiaTheme="minorEastAsia" w:cstheme="minorEastAsia"/>
          <w:bCs/>
          <w:szCs w:val="21"/>
        </w:rPr>
        <w:t>社会需求(</w:t>
      </w:r>
      <m:oMath>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I</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p</m:t>
            </m:r>
            <m:ctrlPr>
              <w:rPr>
                <w:rFonts w:hint="eastAsia" w:ascii="Cambria Math" w:hAnsi="Cambria Math" w:eastAsiaTheme="minorEastAsia" w:cstheme="minorEastAsia"/>
                <w:bCs/>
                <w:i/>
                <w:szCs w:val="21"/>
              </w:rPr>
            </m:ctrlPr>
          </m:sub>
        </m:sSub>
      </m:oMath>
      <w:r>
        <w:rPr>
          <w:rFonts w:hint="eastAsia" w:asciiTheme="minorEastAsia" w:hAnsiTheme="minorEastAsia" w:eastAsiaTheme="minorEastAsia" w:cstheme="minorEastAsia"/>
          <w:bCs/>
          <w:szCs w:val="21"/>
        </w:rPr>
        <w:t>,</w:t>
      </w:r>
      <m:oMath>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I</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g</m:t>
            </m:r>
            <m:ctrlPr>
              <w:rPr>
                <w:rFonts w:hint="eastAsia" w:ascii="Cambria Math" w:hAnsi="Cambria Math" w:eastAsiaTheme="minorEastAsia" w:cstheme="minorEastAsia"/>
                <w:bCs/>
                <w:i/>
                <w:szCs w:val="21"/>
              </w:rPr>
            </m:ctrlPr>
          </m:sub>
        </m:sSub>
        <m:r>
          <m:rPr/>
          <w:rPr>
            <w:rFonts w:hint="eastAsia" w:ascii="Cambria Math" w:hAnsi="Cambria Math" w:eastAsiaTheme="minorEastAsia" w:cstheme="minorEastAsia"/>
            <w:szCs w:val="21"/>
          </w:rPr>
          <m:t>,</m:t>
        </m:r>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C</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p</m:t>
            </m:r>
            <m:ctrlPr>
              <w:rPr>
                <w:rFonts w:hint="eastAsia" w:ascii="Cambria Math" w:hAnsi="Cambria Math" w:eastAsiaTheme="minorEastAsia" w:cstheme="minorEastAsia"/>
                <w:bCs/>
                <w:i/>
                <w:szCs w:val="21"/>
              </w:rPr>
            </m:ctrlPr>
          </m:sub>
        </m:sSub>
      </m:oMath>
      <w:r>
        <w:rPr>
          <w:rFonts w:hint="eastAsia" w:asciiTheme="minorEastAsia" w:hAnsiTheme="minorEastAsia" w:eastAsiaTheme="minorEastAsia" w:cstheme="minorEastAsia"/>
          <w:bCs/>
          <w:szCs w:val="21"/>
        </w:rPr>
        <w:t>,</w:t>
      </w:r>
      <m:oMath>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C</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g</m:t>
            </m:r>
            <m:ctrlPr>
              <w:rPr>
                <w:rFonts w:hint="eastAsia" w:ascii="Cambria Math" w:hAnsi="Cambria Math" w:eastAsiaTheme="minorEastAsia" w:cstheme="minorEastAsia"/>
                <w:bCs/>
                <w:i/>
                <w:szCs w:val="21"/>
              </w:rPr>
            </m:ctrlPr>
          </m:sub>
        </m:sSub>
      </m:oMath>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保证通货膨胀率在政策目标的前提下最大程度平滑经济波动，最大程度挖掘经济产出潜力，最大程度改善民众生活水平和提高经济体禀赋</w:t>
      </w: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r>
        <w:rPr>
          <w:rFonts w:hint="eastAsia"/>
          <w:bCs/>
          <w:szCs w:val="21"/>
          <w:lang w:eastAsia="zh-CN"/>
        </w:rPr>
        <w:t>。</w:t>
      </w:r>
      <w:r>
        <w:rPr>
          <w:bCs/>
          <w:szCs w:val="21"/>
        </w:rPr>
        <w:t xml:space="preserve"> </w:t>
      </w:r>
    </w:p>
    <w:p>
      <w:pPr>
        <w:widowControl w:val="0"/>
        <w:numPr>
          <w:ilvl w:val="0"/>
          <w:numId w:val="0"/>
        </w:numPr>
        <w:ind w:firstLine="420"/>
        <w:jc w:val="both"/>
        <w:rPr>
          <w:rFonts w:hint="default" w:cs="Times New Roman" w:eastAsiaTheme="minorEastAsia"/>
          <w:color w:val="000000"/>
          <w:spacing w:val="0"/>
          <w:w w:val="100"/>
          <w:position w:val="0"/>
          <w:lang w:val="en-US" w:eastAsia="zh-CN" w:bidi="en-US"/>
        </w:rPr>
      </w:pPr>
      <w:r>
        <w:rPr>
          <w:rFonts w:hint="eastAsia" w:asciiTheme="minorEastAsia" w:hAnsiTheme="minorEastAsia" w:eastAsiaTheme="minorEastAsia" w:cstheme="minorEastAsia"/>
          <w:sz w:val="21"/>
          <w:szCs w:val="21"/>
        </w:rPr>
        <w:t>同希克斯、索洛、罗默、曼昆等的文章一样，本文未对模型进行检验和实证。</w:t>
      </w:r>
      <w:r>
        <w:rPr>
          <w:rFonts w:hint="eastAsia" w:asciiTheme="minorEastAsia" w:hAnsiTheme="minorEastAsia" w:eastAsiaTheme="minorEastAsia" w:cstheme="minorEastAsia"/>
          <w:sz w:val="21"/>
          <w:szCs w:val="21"/>
          <w:lang w:val="en-US" w:eastAsia="zh-CN"/>
        </w:rPr>
        <w:t>实际上，这种模型的实证需要学术共同体长期做，而不是通过一篇论文的数据来完成。</w:t>
      </w:r>
    </w:p>
    <w:p>
      <w:pPr>
        <w:numPr>
          <w:ilvl w:val="0"/>
          <w:numId w:val="0"/>
        </w:numPr>
        <w:rPr>
          <w:rFonts w:hint="default" w:cs="Times New Roman"/>
          <w:color w:val="000000"/>
          <w:spacing w:val="0"/>
          <w:w w:val="100"/>
          <w:position w:val="0"/>
          <w:lang w:val="en-US" w:eastAsia="zh-CN" w:bidi="en-US"/>
        </w:rPr>
      </w:pPr>
      <w:r>
        <w:rPr>
          <w:rFonts w:hint="eastAsia" w:hAnsi="Cambria Math" w:eastAsia="微软雅黑" w:cs="Times New Roman"/>
          <w:i w:val="0"/>
          <w:color w:val="000000"/>
          <w:spacing w:val="0"/>
          <w:w w:val="100"/>
          <w:position w:val="0"/>
          <w:lang w:val="en-US" w:eastAsia="zh-CN" w:bidi="en-US"/>
        </w:rPr>
        <w:t xml:space="preserve">  </w:t>
      </w:r>
      <w:r>
        <w:rPr>
          <w:rFonts w:hint="eastAsia" w:asciiTheme="minorEastAsia" w:hAnsiTheme="minorEastAsia" w:eastAsiaTheme="minorEastAsia" w:cstheme="minorEastAsia"/>
          <w:i w:val="0"/>
          <w:color w:val="000000"/>
          <w:spacing w:val="0"/>
          <w:w w:val="100"/>
          <w:position w:val="0"/>
          <w:lang w:val="en-US" w:eastAsia="zh-CN" w:bidi="en-US"/>
        </w:rPr>
        <w:t xml:space="preserve">  9，数学用来定义经济体和表述经济规律假设</w:t>
      </w:r>
    </w:p>
    <w:p>
      <w:pPr>
        <w:numPr>
          <w:ilvl w:val="0"/>
          <w:numId w:val="0"/>
        </w:numPr>
        <w:ind w:firstLine="420" w:firstLineChars="200"/>
        <w:rPr>
          <w:rFonts w:hint="eastAsia"/>
          <w:bCs/>
          <w:szCs w:val="21"/>
          <w:lang w:val="en-US" w:eastAsia="zh-CN"/>
        </w:rPr>
      </w:pPr>
      <w:r>
        <w:rPr>
          <w:rFonts w:hint="eastAsia"/>
          <w:bCs/>
          <w:szCs w:val="21"/>
          <w:lang w:val="en-US" w:eastAsia="zh-CN"/>
        </w:rPr>
        <w:t>无论是阿罗-德布鲁一般均衡微观模型还是索洛和希克斯的宏观模型，数学都是用来定义经济体的，把现实经济体抽象成理想化的模型经济体，并用数学符号和函数表述经济变量。经济学家关于经济活动规律的假设则用数学方程表述。</w:t>
      </w:r>
    </w:p>
    <w:p>
      <w:pPr>
        <w:numPr>
          <w:ilvl w:val="0"/>
          <w:numId w:val="0"/>
        </w:numPr>
        <w:ind w:firstLine="420" w:firstLineChars="200"/>
        <w:rPr>
          <w:rFonts w:hint="eastAsia"/>
          <w:bCs/>
          <w:szCs w:val="21"/>
          <w:lang w:eastAsia="zh-CN"/>
        </w:rPr>
      </w:pPr>
      <w:r>
        <w:rPr>
          <w:rFonts w:hint="eastAsia"/>
          <w:bCs/>
          <w:szCs w:val="21"/>
          <w:lang w:val="en-US" w:eastAsia="zh-CN"/>
        </w:rPr>
        <w:t>本文模型与索洛模型</w:t>
      </w:r>
      <w:r>
        <w:rPr>
          <w:rFonts w:hint="eastAsia" w:ascii="微软雅黑" w:hAnsi="微软雅黑" w:eastAsia="微软雅黑" w:cs="微软雅黑"/>
          <w:bCs/>
          <w:szCs w:val="21"/>
          <w:lang w:val="en-US" w:eastAsia="zh-CN"/>
        </w:rPr>
        <w:t>、</w:t>
      </w:r>
      <w:r>
        <w:rPr>
          <w:rFonts w:hint="eastAsia"/>
          <w:bCs/>
          <w:szCs w:val="21"/>
          <w:lang w:val="en-US" w:eastAsia="zh-CN"/>
        </w:rPr>
        <w:t>希克斯模型不同的地方在于索洛模型</w:t>
      </w:r>
      <w:r>
        <w:rPr>
          <w:rFonts w:hint="eastAsia" w:ascii="微软雅黑" w:hAnsi="微软雅黑" w:eastAsia="微软雅黑" w:cs="微软雅黑"/>
          <w:bCs/>
          <w:szCs w:val="21"/>
          <w:lang w:val="en-US" w:eastAsia="zh-CN"/>
        </w:rPr>
        <w:t>、</w:t>
      </w:r>
      <w:r>
        <w:rPr>
          <w:rFonts w:hint="eastAsia"/>
          <w:bCs/>
          <w:szCs w:val="21"/>
          <w:lang w:val="en-US" w:eastAsia="zh-CN"/>
        </w:rPr>
        <w:t>希克斯模型方程的解是一个点，即优化稳定均衡点，而本</w:t>
      </w:r>
      <w:r>
        <w:rPr>
          <w:rFonts w:hint="eastAsia" w:asciiTheme="minorEastAsia" w:hAnsiTheme="minorEastAsia" w:eastAsiaTheme="minorEastAsia" w:cstheme="minorEastAsia"/>
          <w:i w:val="0"/>
          <w:color w:val="000000"/>
          <w:spacing w:val="0"/>
          <w:w w:val="100"/>
          <w:position w:val="0"/>
          <w:lang w:val="en-US" w:eastAsia="zh-CN" w:bidi="en-US"/>
        </w:rPr>
        <w:t>文模型的解不是一个优化稳定均衡点</w:t>
      </w:r>
      <w:r>
        <w:rPr>
          <w:rFonts w:hint="eastAsia"/>
          <w:bCs/>
          <w:szCs w:val="21"/>
          <w:lang w:val="en-US" w:eastAsia="zh-CN"/>
        </w:rPr>
        <w:t>而是一个阈值范围，</w:t>
      </w:r>
      <m:oMath>
        <m:sSup>
          <m:sSupPr>
            <m:ctrlPr>
              <w:rPr>
                <w:rFonts w:ascii="Cambria Math" w:hAnsi="Cambria Math" w:cs="Times New Roman"/>
                <w:i/>
                <w:color w:val="000000"/>
                <w:spacing w:val="0"/>
                <w:w w:val="100"/>
                <w:position w:val="0"/>
                <w:lang w:val="en-US" w:bidi="en-US"/>
              </w:rPr>
            </m:ctrlPr>
          </m:sSupPr>
          <m:e>
            <m:r>
              <m:rPr/>
              <w:rPr>
                <w:rFonts w:hint="default" w:ascii="Cambria Math" w:hAnsi="Cambria Math" w:cs="Times New Roman"/>
                <w:color w:val="000000"/>
                <w:spacing w:val="0"/>
                <w:w w:val="100"/>
                <w:position w:val="0"/>
                <w:lang w:val="en-US" w:eastAsia="zh-CN" w:bidi="en-US"/>
              </w:rPr>
              <m:t>y</m:t>
            </m:r>
            <m:ctrlPr>
              <w:rPr>
                <w:rFonts w:ascii="Cambria Math" w:hAnsi="Cambria Math" w:cs="Times New Roman"/>
                <w:i/>
                <w:color w:val="000000"/>
                <w:spacing w:val="0"/>
                <w:w w:val="100"/>
                <w:position w:val="0"/>
                <w:lang w:val="en-US" w:bidi="en-US"/>
              </w:rPr>
            </m:ctrlPr>
          </m:e>
          <m:sup>
            <m:r>
              <m:rPr/>
              <w:rPr>
                <w:rFonts w:hint="default" w:ascii="Cambria Math" w:hAnsi="Cambria Math" w:cs="Times New Roman"/>
                <w:color w:val="000000"/>
                <w:spacing w:val="0"/>
                <w:w w:val="100"/>
                <w:position w:val="0"/>
                <w:lang w:val="en-US" w:eastAsia="zh-CN" w:bidi="en-US"/>
              </w:rPr>
              <m:t>'</m:t>
            </m:r>
            <m:ctrlPr>
              <w:rPr>
                <w:rFonts w:ascii="Cambria Math" w:hAnsi="Cambria Math" w:cs="Times New Roman"/>
                <w:i/>
                <w:color w:val="000000"/>
                <w:spacing w:val="0"/>
                <w:w w:val="100"/>
                <w:position w:val="0"/>
                <w:lang w:val="en-US" w:bidi="en-US"/>
              </w:rPr>
            </m:ctrlPr>
          </m:sup>
        </m:sSup>
      </m:oMath>
      <w:r>
        <w:rPr>
          <w:rFonts w:hint="eastAsia" w:ascii="微软雅黑" w:hAnsi="微软雅黑" w:eastAsia="微软雅黑" w:cs="微软雅黑"/>
          <w:i w:val="0"/>
          <w:color w:val="000000"/>
          <w:spacing w:val="0"/>
          <w:w w:val="100"/>
          <w:position w:val="0"/>
          <w:lang w:val="en-US" w:bidi="en-US"/>
        </w:rPr>
        <w:t>∈</w:t>
      </w:r>
      <w:r>
        <w:rPr>
          <w:rFonts w:hint="eastAsia" w:hAnsi="Cambria Math" w:eastAsia="微软雅黑" w:cs="Times New Roman"/>
          <w:i w:val="0"/>
          <w:color w:val="000000"/>
          <w:spacing w:val="0"/>
          <w:w w:val="100"/>
          <w:position w:val="0"/>
          <w:lang w:val="en-US" w:eastAsia="zh-CN" w:bidi="en-US"/>
        </w:rPr>
        <w:t>（0，a）。</w:t>
      </w:r>
    </w:p>
    <w:p>
      <w:pPr>
        <w:numPr>
          <w:ilvl w:val="0"/>
          <w:numId w:val="0"/>
        </w:numPr>
        <w:ind w:firstLine="420" w:firstLineChars="200"/>
        <w:rPr>
          <w:rFonts w:hint="eastAsia"/>
          <w:bCs/>
          <w:szCs w:val="21"/>
          <w:lang w:val="en-US" w:eastAsia="zh-CN"/>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论文概要：</w:t>
      </w:r>
      <w:r>
        <w:rPr>
          <w:rFonts w:hint="eastAsia" w:asciiTheme="minorEastAsia" w:hAnsiTheme="minorEastAsia" w:eastAsiaTheme="minorEastAsia" w:cstheme="minorEastAsia"/>
          <w:sz w:val="21"/>
          <w:szCs w:val="21"/>
        </w:rPr>
        <w:t>中国改革开放以来取得的巨大成就是重大经济理论现象，也是新古典学派的重大困惑。科学是科学家主观构建的关于研究目标发展规律的形式逻辑体系。从科学的角度讲，一个理论的重大困惑往往意味着该理论基础逻辑的重大缺陷，意味着该理论的重大创新需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文首先讨论科学、数学、基本规律假设等方法论基本问题。通过市场的微观机制分析指出投资品商品交换不存在竞争性均衡，非投资品商品交换存在帕累托优化竞争性均衡，商品生产不存在优化竞争性均衡。结合1921年至1939年长达19年的时间里英国失业率始终维持10%以上(Phillips, 1958)的经济现实，本文认为新古典学派关于没有政府干预的市场经济能实现一般均衡，能实现劳动力和社会资本</w:t>
      </w:r>
      <w:r>
        <w:rPr>
          <w:rFonts w:hint="eastAsia" w:asciiTheme="minorEastAsia" w:hAnsiTheme="minorEastAsia" w:eastAsiaTheme="minorEastAsia" w:cstheme="minorEastAsia"/>
          <w:sz w:val="21"/>
          <w:szCs w:val="21"/>
          <w:lang w:val="en-US" w:eastAsia="zh-CN"/>
        </w:rPr>
        <w:t>积累</w:t>
      </w:r>
      <w:r>
        <w:rPr>
          <w:rFonts w:hint="eastAsia" w:asciiTheme="minorEastAsia" w:hAnsiTheme="minorEastAsia" w:eastAsiaTheme="minorEastAsia" w:cstheme="minorEastAsia"/>
          <w:sz w:val="21"/>
          <w:szCs w:val="21"/>
        </w:rPr>
        <w:t>全利用的基本规律假设过强；凯恩斯学派关于政府政策能实现市场</w:t>
      </w:r>
      <w:r>
        <w:rPr>
          <w:rFonts w:hint="default" w:asciiTheme="minorEastAsia" w:hAnsiTheme="minorEastAsia" w:eastAsiaTheme="minorEastAsia" w:cstheme="minorEastAsia"/>
          <w:sz w:val="21"/>
          <w:szCs w:val="21"/>
        </w:rPr>
        <w:t>竞争</w:t>
      </w:r>
      <w:r>
        <w:rPr>
          <w:rFonts w:hint="eastAsia" w:asciiTheme="minorEastAsia" w:hAnsiTheme="minorEastAsia" w:eastAsiaTheme="minorEastAsia" w:cstheme="minorEastAsia"/>
          <w:sz w:val="21"/>
          <w:szCs w:val="21"/>
        </w:rPr>
        <w:t>优化均衡的假设过强。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综合其他学者的研究成果，</w:t>
      </w:r>
      <w:r>
        <w:rPr>
          <w:rFonts w:hint="eastAsia" w:asciiTheme="minorEastAsia" w:hAnsiTheme="minorEastAsia" w:eastAsiaTheme="minorEastAsia" w:cstheme="minorEastAsia"/>
          <w:sz w:val="21"/>
          <w:szCs w:val="21"/>
        </w:rPr>
        <w:t>本文首次提出关于市场经济</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rPr>
        <w:t>三个互相独立的基本规律假设。一，非投资品商品交换能实现帕累托优化竞争性均衡；二，没有政府干预的自由市场难以实现劳动力全利用；三，知识是无限维，任一维为无限大，但一定时间内任一维知识的增长都不会超过某一常数的欧氏空间。在此基础上，本文构建政府管理的市场经济数学模型。模型政府用虚拟的货币体系管理市场经济，财政由货币发行平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索洛模型认为资本积累与人口比例长期存在优化均衡解；希克斯模型认为IS-LM曲线交叉点为均衡利率，对应的是最优政府政策和最优社会产出；本文模型认为不变价格社会产出存在一个由经济体禀赋决定的上限，超过一定范围的政府政策更多引发通货膨胀并造成经济不稳，这构成政府政策的约束。经济体禀赋是本文首次提出的反映经济体资本积累的综合指标，为经济体不变价格社会产出的上限。在保证通货膨胀率在政策目标的前提条件下，政府通过货币政策和政府投资</w:t>
      </w:r>
      <w:r>
        <w:rPr>
          <w:rFonts w:hint="default" w:asciiTheme="minorEastAsia" w:hAnsiTheme="minorEastAsia" w:eastAsiaTheme="minorEastAsia" w:cstheme="minorEastAsia"/>
          <w:sz w:val="21"/>
          <w:szCs w:val="21"/>
        </w:rPr>
        <w:t>及</w:t>
      </w:r>
      <w:r>
        <w:rPr>
          <w:rFonts w:hint="eastAsia" w:asciiTheme="minorEastAsia" w:hAnsiTheme="minorEastAsia" w:eastAsiaTheme="minorEastAsia" w:cstheme="minorEastAsia"/>
          <w:sz w:val="21"/>
          <w:szCs w:val="21"/>
        </w:rPr>
        <w:t>支出调节社会总需求，以最大程度平滑经济波动、最大程度提高经济体禀赋，最大程度挖掘经济体增长潜力。模型政府通过政府投资和支出实现其价值主张如各地区平衡发展、</w:t>
      </w:r>
      <w:r>
        <w:rPr>
          <w:rFonts w:hint="default" w:asciiTheme="minorEastAsia" w:hAnsiTheme="minorEastAsia" w:eastAsiaTheme="minorEastAsia" w:cstheme="minorEastAsia"/>
          <w:sz w:val="21"/>
          <w:szCs w:val="21"/>
        </w:rPr>
        <w:t>青山绿水、美丽家园、</w:t>
      </w:r>
      <w:r>
        <w:rPr>
          <w:rFonts w:hint="eastAsia" w:asciiTheme="minorEastAsia" w:hAnsiTheme="minorEastAsia" w:eastAsiaTheme="minorEastAsia" w:cstheme="minorEastAsia"/>
          <w:sz w:val="21"/>
          <w:szCs w:val="21"/>
        </w:rPr>
        <w:t>共同富裕等。政府应效率与公平兼顾优化投资和支出项目以实现经济体长期可持续高质量稳定发展。模型经济体可免于金融危机和经济危机，但管理私人部门跨境资本流动是其赖以建立与存在的前提。</w:t>
      </w:r>
    </w:p>
    <w:p>
      <w:pPr>
        <w:ind w:left="0" w:leftChars="0" w:firstLine="0" w:firstLineChars="0"/>
        <w:rPr>
          <w:rFonts w:hint="eastAsia" w:cs="宋体"/>
          <w:color w:val="000000"/>
          <w:kern w:val="0"/>
          <w:sz w:val="28"/>
          <w:szCs w:val="28"/>
          <w:lang w:val="en-US" w:eastAsia="zh-CN"/>
        </w:rPr>
      </w:pPr>
      <w:r>
        <w:rPr>
          <w:rFonts w:hint="eastAsia" w:asciiTheme="minorEastAsia" w:hAnsiTheme="minorEastAsia" w:eastAsiaTheme="minorEastAsia" w:cstheme="minorEastAsia"/>
          <w:sz w:val="21"/>
          <w:szCs w:val="21"/>
        </w:rPr>
        <w:t>本文提出的政府管理的市场经济模型成为与新古典学派和凯恩斯学派并列的新的经济理论框架。同希克斯、索洛、罗默、曼昆等的文章一样，本文未对模型进行检验和实证。</w:t>
      </w:r>
    </w:p>
    <w:p>
      <w:r>
        <w:rPr>
          <w:rFonts w:hint="eastAsia" w:cs="宋体"/>
          <w:color w:val="000000"/>
          <w:kern w:val="0"/>
          <w:sz w:val="28"/>
          <w:szCs w:val="28"/>
          <w:lang w:val="en-US" w:eastAsia="zh-CN"/>
        </w:rPr>
        <w:t xml:space="preserve"> </w:t>
      </w:r>
      <w:r>
        <w:br w:type="page"/>
      </w:r>
    </w:p>
    <w:bookmarkEnd w:id="0"/>
    <w:p>
      <w:pPr>
        <w:ind w:left="0" w:leftChars="0" w:firstLine="0" w:firstLineChars="0"/>
        <w:rPr>
          <w:rFonts w:hint="eastAsia" w:cs="宋体"/>
          <w:color w:val="000000"/>
          <w:kern w:val="0"/>
          <w:szCs w:val="21"/>
          <w:lang w:val="en-US" w:eastAsia="zh-CN"/>
        </w:rPr>
      </w:pPr>
      <w:bookmarkStart w:id="2" w:name="_Hlk125114494"/>
      <w:r>
        <w:rPr>
          <w:rFonts w:hint="eastAsia" w:cs="宋体"/>
          <w:color w:val="000000"/>
          <w:kern w:val="0"/>
          <w:szCs w:val="21"/>
          <w:lang w:val="en-US" w:eastAsia="zh-CN"/>
        </w:rPr>
        <w:t xml:space="preserve">    本文从数学化科学方法论的视角对主流经济理论的思想和数学模型做了深入分析，指出其逻辑缺陷或假设过强，提出改进的关于市场经济的基本规律假设，提出新的宏观经济理论数学模型。由于本文有很多创新，特别是方法论创新，因此特做方法论说明作为附录3。</w:t>
      </w:r>
    </w:p>
    <w:p>
      <w:pPr>
        <w:pStyle w:val="16"/>
        <w:ind w:firstLine="1609" w:firstLineChars="503"/>
        <w:jc w:val="both"/>
        <w:rPr>
          <w:rFonts w:hint="default"/>
          <w:lang w:val="en-US"/>
        </w:rPr>
      </w:pPr>
      <w:r>
        <w:rPr>
          <w:rFonts w:hint="default"/>
          <w:lang w:eastAsia="zh-CN"/>
        </w:rPr>
        <w:t>政府管理的市场经济：一个理论框架</w:t>
      </w:r>
    </w:p>
    <w:p>
      <w:pPr>
        <w:ind w:firstLine="0" w:firstLineChars="0"/>
      </w:pPr>
    </w:p>
    <w:p>
      <w:pPr>
        <w:ind w:firstLine="0" w:firstLineChars="0"/>
      </w:pPr>
    </w:p>
    <w:p>
      <w:pPr>
        <w:ind w:firstLine="0" w:firstLineChars="0"/>
      </w:pPr>
    </w:p>
    <w:p>
      <w:pPr>
        <w:rPr>
          <w:rFonts w:hint="default" w:ascii="仿宋" w:hAnsi="仿宋" w:eastAsia="仿宋"/>
          <w:lang w:val="en-US" w:eastAsia="zh-CN"/>
        </w:rPr>
      </w:pPr>
      <w:bookmarkStart w:id="3" w:name="_Hlk125114713"/>
      <w:r>
        <w:rPr>
          <w:rFonts w:hint="eastAsia" w:ascii="仿宋" w:hAnsi="仿宋" w:eastAsia="仿宋"/>
          <w:b/>
          <w:bCs/>
        </w:rPr>
        <w:t>摘要：</w:t>
      </w:r>
      <w:r>
        <w:rPr>
          <w:rFonts w:hint="default" w:ascii="仿宋" w:hAnsi="仿宋" w:eastAsia="仿宋" w:cs="仿宋"/>
        </w:rPr>
        <w:t>本文提出一个底层逻辑与新古典和凯恩斯学派不同的经济理论框架。文章讨论数学化科学方法论和基本规律假设，指出新古典学派和凯恩斯学派关于市场经济的基本规律假设过强，提出改进的关于市场经济的基本规律假设并在此基础上构建政府管理的市场经济数学模型。模型经济体可免于金融危机、最大程度平滑经济波动和最大程度挖掘经济增长潜力，但管理私人部门资本跨境流动是其赖以建立与存在的前提。对中国过去四十多年来在经济和科研方面取得的显著成就及若干其它重要经济现实和理论问题，本文给出与主流经济理论截然不同的解释。</w:t>
      </w:r>
    </w:p>
    <w:p>
      <w:pPr>
        <w:ind w:left="0" w:leftChars="0" w:firstLine="422" w:firstLineChars="200"/>
        <w:rPr>
          <w:rFonts w:ascii="仿宋" w:hAnsi="仿宋" w:eastAsia="仿宋"/>
        </w:rPr>
      </w:pPr>
      <w:r>
        <w:rPr>
          <w:rFonts w:hint="eastAsia" w:ascii="仿宋" w:hAnsi="仿宋" w:eastAsia="仿宋"/>
          <w:b/>
          <w:bCs/>
        </w:rPr>
        <w:t>关键词</w:t>
      </w:r>
      <w:r>
        <w:rPr>
          <w:rFonts w:hint="default" w:ascii="仿宋" w:hAnsi="仿宋" w:eastAsia="仿宋"/>
          <w:b/>
          <w:bCs/>
        </w:rPr>
        <w:t>：</w:t>
      </w:r>
      <w:r>
        <w:rPr>
          <w:rFonts w:hint="default" w:ascii="仿宋" w:hAnsi="仿宋" w:eastAsia="仿宋"/>
          <w:lang w:eastAsia="zh-CN"/>
        </w:rPr>
        <w:t>政府管理的市场经济、经济理论方法论</w:t>
      </w:r>
      <w:r>
        <w:rPr>
          <w:rFonts w:hint="eastAsia" w:ascii="微软雅黑" w:hAnsi="微软雅黑" w:eastAsia="微软雅黑" w:cs="微软雅黑"/>
          <w:lang w:val="en-US" w:eastAsia="zh-CN"/>
        </w:rPr>
        <w:t>、</w:t>
      </w:r>
      <w:r>
        <w:rPr>
          <w:rFonts w:hint="eastAsia" w:ascii="仿宋" w:hAnsi="仿宋" w:eastAsia="仿宋"/>
          <w:lang w:val="en-US" w:eastAsia="zh-CN"/>
        </w:rPr>
        <w:t>基本</w:t>
      </w:r>
      <w:r>
        <w:rPr>
          <w:rFonts w:hint="eastAsia" w:ascii="仿宋" w:hAnsi="仿宋" w:eastAsia="仿宋"/>
        </w:rPr>
        <w:t>规律假设、</w:t>
      </w:r>
      <w:r>
        <w:rPr>
          <w:rFonts w:hint="eastAsia" w:ascii="仿宋" w:hAnsi="仿宋" w:eastAsia="仿宋"/>
          <w:lang w:val="en-US" w:eastAsia="zh-CN"/>
        </w:rPr>
        <w:t>数学模型</w:t>
      </w:r>
      <w:r>
        <w:rPr>
          <w:rFonts w:hint="eastAsia" w:ascii="仿宋" w:hAnsi="仿宋" w:eastAsia="仿宋"/>
        </w:rPr>
        <w:t>、</w:t>
      </w:r>
      <w:r>
        <w:rPr>
          <w:rFonts w:hint="eastAsia" w:ascii="仿宋" w:hAnsi="仿宋" w:eastAsia="仿宋"/>
          <w:lang w:val="en-US" w:eastAsia="zh-CN"/>
        </w:rPr>
        <w:t>经济体禀赋</w:t>
      </w:r>
      <w:r>
        <w:rPr>
          <w:rFonts w:hint="eastAsia" w:ascii="仿宋" w:hAnsi="仿宋" w:eastAsia="仿宋"/>
        </w:rPr>
        <w:t>、跨境资本流动</w:t>
      </w:r>
      <w:r>
        <w:rPr>
          <w:rFonts w:hint="eastAsia" w:ascii="微软雅黑" w:hAnsi="微软雅黑" w:eastAsia="微软雅黑" w:cs="微软雅黑"/>
        </w:rPr>
        <w:t>、</w:t>
      </w:r>
      <w:r>
        <w:rPr>
          <w:rFonts w:hint="eastAsia" w:ascii="仿宋" w:hAnsi="仿宋" w:eastAsia="仿宋"/>
          <w:lang w:val="en-US" w:eastAsia="zh-CN"/>
        </w:rPr>
        <w:t>经济理论框架</w:t>
      </w:r>
      <w:r>
        <w:rPr>
          <w:rFonts w:hint="eastAsia" w:ascii="仿宋" w:hAnsi="仿宋" w:eastAsia="仿宋"/>
        </w:rPr>
        <w:t>。</w:t>
      </w:r>
    </w:p>
    <w:p/>
    <w:p>
      <w:pPr>
        <w:pStyle w:val="2"/>
      </w:pPr>
      <w:r>
        <w:rPr>
          <w:rFonts w:hint="eastAsia"/>
        </w:rPr>
        <w:t>一、导论</w:t>
      </w:r>
    </w:p>
    <w:bookmarkEnd w:id="3"/>
    <w:p>
      <w:r>
        <w:rPr>
          <w:rFonts w:hint="eastAsia"/>
        </w:rPr>
        <w:t>1978年</w:t>
      </w:r>
      <w:r>
        <w:rPr>
          <w:rFonts w:hint="eastAsia"/>
          <w:lang w:val="en-US" w:eastAsia="zh-CN"/>
        </w:rPr>
        <w:t>改革伊始，中国逐步</w:t>
      </w:r>
      <w:r>
        <w:rPr>
          <w:rFonts w:hint="eastAsia"/>
        </w:rPr>
        <w:t>实行</w:t>
      </w:r>
      <w:r>
        <w:rPr>
          <w:rFonts w:hint="eastAsia"/>
          <w:lang w:val="en-US" w:eastAsia="zh-CN"/>
        </w:rPr>
        <w:t>社会主义</w:t>
      </w:r>
      <w:r>
        <w:rPr>
          <w:rFonts w:hint="eastAsia"/>
        </w:rPr>
        <w:t>市场经济体制并</w:t>
      </w:r>
      <w:r>
        <w:rPr>
          <w:rFonts w:hint="eastAsia"/>
          <w:lang w:val="en-US" w:eastAsia="zh-CN"/>
        </w:rPr>
        <w:t>实施</w:t>
      </w:r>
      <w:r>
        <w:rPr>
          <w:rFonts w:hint="eastAsia"/>
        </w:rPr>
        <w:t>对外开放。1979年中国人口为9.75亿人，GDP为1782亿美元；印度人口为6.83亿人，GDP为1530亿美元。</w:t>
      </w:r>
      <w:r>
        <w:rPr>
          <w:rFonts w:hint="eastAsia"/>
          <w:lang w:val="en-US" w:eastAsia="zh-CN"/>
        </w:rPr>
        <w:t>同期</w:t>
      </w:r>
      <w:r>
        <w:rPr>
          <w:rFonts w:hint="eastAsia"/>
        </w:rPr>
        <w:t>，中国人均GDP为183美元/人，印度人均GDP为224美元/人，中国人均GDP是印度的82%。</w:t>
      </w:r>
      <w:r>
        <w:rPr>
          <w:rFonts w:hint="eastAsia"/>
          <w:lang w:val="en-US" w:eastAsia="zh-CN"/>
        </w:rPr>
        <w:t>截至</w:t>
      </w:r>
      <w:r>
        <w:rPr>
          <w:rFonts w:hint="eastAsia"/>
        </w:rPr>
        <w:t>2020年，中国人口为14.14亿人，GDP为147227亿美元，印度人口为13.8亿，GDP为26229亿美元，中国人均GDP为10412美元/人，印度人均GDP为1901美元/人，中国人均GDP是印度的5.48倍。中国和印度均为人口大国，有着类似的国际经济环境，但这期间中国经济增长速度却显著比印度高。</w:t>
      </w:r>
    </w:p>
    <w:p>
      <w:r>
        <w:rPr>
          <w:rFonts w:hint="eastAsia"/>
        </w:rPr>
        <w:t>新古典学派认为自由市场经济能自身实现优化发展，政府经济政策反而对市场经济产生不良冲击</w:t>
      </w:r>
      <w:r>
        <w:fldChar w:fldCharType="begin"/>
      </w:r>
      <w:r>
        <w:instrText xml:space="preserve"> ADDIN EN.CITE &lt;EndNote&gt;&lt;Cite&gt;&lt;Author&gt;Lucas Jr&lt;/Author&gt;&lt;Year&gt;1975&lt;/Year&gt;&lt;RecNum&gt;955&lt;/RecNum&gt;&lt;DisplayText&gt;(Lucas Jr, 1975)&lt;/DisplayText&gt;&lt;record&gt;&lt;rec-number&gt;955&lt;/rec-number&gt;&lt;foreign-keys&gt;&lt;key app="EN" db-id="dfw50pzpwrep2aeerx4v2xdyaa5vzeftr0xv" timestamp="1674198066"&gt;955&lt;/key&gt;&lt;/foreign-keys&gt;&lt;ref-type name="Journal Article"&gt;17&lt;/ref-type&gt;&lt;contributors&gt;&lt;authors&gt;&lt;author&gt;Lucas Jr, Robert E.&lt;/author&gt;&lt;/authors&gt;&lt;/contributors&gt;&lt;titles&gt;&lt;title&gt;An equilibrium model of the business cycle&lt;/title&gt;&lt;secondary-title&gt;Journal of political economy&lt;/secondary-title&gt;&lt;/titles&gt;&lt;periodical&gt;&lt;full-title&gt;Journal of political economy&lt;/full-title&gt;&lt;/periodical&gt;&lt;pages&gt;1113-1144&lt;/pages&gt;&lt;volume&gt;83&lt;/volume&gt;&lt;number&gt;6&lt;/number&gt;&lt;dates&gt;&lt;year&gt;1975&lt;/year&gt;&lt;/dates&gt;&lt;publisher&gt;The University of Chicago Press&lt;/publisher&gt;&lt;isbn&gt;0022-3808&lt;/isbn&gt;&lt;urls&gt;&lt;/urls&gt;&lt;/record&gt;&lt;/Cite&gt;&lt;/EndNote&gt;</w:instrText>
      </w:r>
      <w:r>
        <w:fldChar w:fldCharType="separate"/>
      </w:r>
      <w:r>
        <w:t>(Lucas , 1975)</w:t>
      </w:r>
      <w:r>
        <w:fldChar w:fldCharType="end"/>
      </w:r>
      <w:r>
        <w:rPr>
          <w:rFonts w:hint="eastAsia"/>
        </w:rPr>
        <w:t>。按新古典学派经济理论，政府对经济干预比中国少的印度经济其增长率应该比中国经济增长率更高，现实却是1979年至2020年中国经济增长率比印度经济增长率显著高，这意味着新古典学派对中印两国过去四十多年经济增长现实的解释并不令人满意，有必要对其</w:t>
      </w:r>
      <w:r>
        <w:rPr>
          <w:rFonts w:hint="eastAsia"/>
          <w:lang w:val="en-US" w:eastAsia="zh-CN"/>
        </w:rPr>
        <w:t>进一步完善</w:t>
      </w:r>
      <w:r>
        <w:rPr>
          <w:rFonts w:hint="eastAsia"/>
        </w:rPr>
        <w:t>。虽然凯恩斯学派认为市场经济存在优化稳定均衡的政府投资和货币政策，存在优化稳定均衡的市场利率，但中国经济实践并未完全遵循凯恩斯主义理论，比如中国经济实践没有实行市场利率政策而是实行政府确定的利率政策，</w:t>
      </w:r>
      <w:r>
        <w:rPr>
          <w:rFonts w:hint="eastAsia"/>
          <w:lang w:val="en-US" w:eastAsia="zh-CN"/>
        </w:rPr>
        <w:t>从而导致了</w:t>
      </w:r>
      <w:r>
        <w:rPr>
          <w:rFonts w:hint="eastAsia"/>
        </w:rPr>
        <w:t>黑市利率情况</w:t>
      </w:r>
      <w:r>
        <w:rPr>
          <w:rFonts w:hint="eastAsia"/>
          <w:lang w:val="en-US" w:eastAsia="zh-CN"/>
        </w:rPr>
        <w:t>的存在</w:t>
      </w:r>
      <w:r>
        <w:rPr>
          <w:rFonts w:hint="eastAsia"/>
        </w:rPr>
        <w:t>。</w:t>
      </w:r>
    </w:p>
    <w:p>
      <w:r>
        <w:rPr>
          <w:rFonts w:hint="eastAsia"/>
        </w:rPr>
        <w:t>本文将从方法论和逻辑上反思主流经济理论。以下部分首先</w:t>
      </w:r>
      <w:r>
        <w:rPr>
          <w:rFonts w:hint="eastAsia"/>
          <w:lang w:val="en-US" w:eastAsia="zh-CN"/>
        </w:rPr>
        <w:t>讨论</w:t>
      </w:r>
      <w:r>
        <w:rPr>
          <w:rFonts w:hint="eastAsia"/>
        </w:rPr>
        <w:t>数学化科学方法论，提出遵循数学化科学方法论的经济理论，依此视角指出主流经济理论新古典</w:t>
      </w:r>
      <w:r>
        <w:rPr>
          <w:rFonts w:hint="default"/>
        </w:rPr>
        <w:t>学派</w:t>
      </w:r>
      <w:r>
        <w:rPr>
          <w:rFonts w:hint="eastAsia"/>
        </w:rPr>
        <w:t>和凯恩斯学派关于市场经济的基本规律假设，指出其中若干基本规律假设</w:t>
      </w:r>
      <w:r>
        <w:rPr>
          <w:rFonts w:hint="eastAsia"/>
          <w:lang w:val="en-US" w:eastAsia="zh-CN"/>
        </w:rPr>
        <w:t>过</w:t>
      </w:r>
      <w:r>
        <w:rPr>
          <w:rFonts w:hint="eastAsia"/>
        </w:rPr>
        <w:t>强，指出主流经济理论存在方法论缺陷。</w:t>
      </w:r>
      <w:r>
        <w:rPr>
          <w:rFonts w:hint="eastAsia"/>
          <w:lang w:val="en-US" w:eastAsia="zh-CN"/>
        </w:rPr>
        <w:t>然后</w:t>
      </w:r>
      <w:r>
        <w:rPr>
          <w:rFonts w:hint="eastAsia"/>
        </w:rPr>
        <w:t>提出关于市场经济的三个互相独立的基本规律假设并在此基础上构建政府管理的市场经济数学模型</w:t>
      </w:r>
      <w:r>
        <w:rPr>
          <w:rFonts w:hint="default"/>
        </w:rPr>
        <w:t>。再后阐述本模型对若干重要经济现实和经济理论问题与主流经济理论不同的解释。</w:t>
      </w:r>
      <w:r>
        <w:rPr>
          <w:rFonts w:hint="eastAsia"/>
        </w:rPr>
        <w:t>最后</w:t>
      </w:r>
      <w:r>
        <w:rPr>
          <w:rFonts w:hint="eastAsia"/>
          <w:lang w:val="en-US" w:eastAsia="zh-CN"/>
        </w:rPr>
        <w:t>部分</w:t>
      </w:r>
      <w:r>
        <w:rPr>
          <w:rFonts w:hint="eastAsia"/>
        </w:rPr>
        <w:t>是总结</w:t>
      </w:r>
      <w:r>
        <w:rPr>
          <w:rFonts w:hint="eastAsia"/>
          <w:lang w:eastAsia="zh-CN"/>
        </w:rPr>
        <w:t>（</w:t>
      </w:r>
      <w:r>
        <w:rPr>
          <w:rFonts w:hint="eastAsia"/>
          <w:lang w:val="en-US" w:eastAsia="zh-CN"/>
        </w:rPr>
        <w:t>一个新的经济理论框架</w:t>
      </w:r>
      <w:r>
        <w:rPr>
          <w:rFonts w:hint="eastAsia"/>
          <w:lang w:eastAsia="zh-CN"/>
        </w:rPr>
        <w:t>）</w:t>
      </w:r>
      <w:r>
        <w:rPr>
          <w:rFonts w:hint="eastAsia"/>
        </w:rPr>
        <w:t>和政策建议。</w:t>
      </w:r>
    </w:p>
    <w:p/>
    <w:p>
      <w:pPr>
        <w:pStyle w:val="2"/>
      </w:pPr>
      <w:r>
        <w:rPr>
          <w:rFonts w:hint="eastAsia"/>
        </w:rPr>
        <w:t>二、遵循数学化科学方法论的经济理论</w:t>
      </w:r>
    </w:p>
    <w:p>
      <w:pPr>
        <w:pStyle w:val="4"/>
        <w:ind w:firstLine="420"/>
      </w:pPr>
      <w:r>
        <w:rPr>
          <w:rFonts w:hint="eastAsia"/>
        </w:rPr>
        <w:t>（一）</w:t>
      </w:r>
      <w:r>
        <w:t>数学化科学方法论</w:t>
      </w:r>
    </w:p>
    <w:p>
      <w:r>
        <w:rPr>
          <w:rFonts w:hint="eastAsia"/>
        </w:rPr>
        <w:t>无论是自然科学学科还是社会科学学科，都称遵循科学方法论。广义地，讲逻辑的论述都可以认为遵循了科学方法论。本文</w:t>
      </w:r>
      <w:r>
        <w:rPr>
          <w:rFonts w:hint="default"/>
        </w:rPr>
        <w:t>把</w:t>
      </w:r>
      <w:r>
        <w:rPr>
          <w:rFonts w:hint="eastAsia"/>
        </w:rPr>
        <w:t>牛顿经典力学</w:t>
      </w:r>
      <w:r>
        <w:rPr>
          <w:rFonts w:hint="default"/>
        </w:rPr>
        <w:t>那</w:t>
      </w:r>
      <w:r>
        <w:rPr>
          <w:rFonts w:hint="eastAsia"/>
        </w:rPr>
        <w:t>样有特定方法论要求的科学方法论称为数学化科学方法论，以区别上述广义的科学方法论。</w:t>
      </w:r>
    </w:p>
    <w:p>
      <w:r>
        <w:t>爱因斯坦（</w:t>
      </w:r>
      <w:r>
        <w:fldChar w:fldCharType="begin"/>
      </w:r>
      <w:r>
        <w:instrText xml:space="preserve"> ADDIN EN.CITE &lt;EndNote&gt;&lt;Cite AuthorYear="1"&gt;&lt;Author&gt;Einstein&lt;/Author&gt;&lt;Year&gt;2011&lt;/Year&gt;&lt;RecNum&gt;939&lt;/RecNum&gt;&lt;DisplayText&gt;Einstein (2011)&lt;/DisplayText&gt;&lt;record&gt;&lt;rec-number&gt;939&lt;/rec-number&gt;&lt;foreign-keys&gt;&lt;key app="EN" db-id="dfw50pzpwrep2aeerx4v2xdyaa5vzeftr0xv" timestamp="1674195779"&gt;939&lt;/key&gt;&lt;/foreign-keys&gt;&lt;ref-type name="Book"&gt;6&lt;/ref-type&gt;&lt;contributors&gt;&lt;authors&gt;&lt;author&gt;Einstein, Albert&lt;/author&gt;&lt;/authors&gt;&lt;/contributors&gt;&lt;titles&gt;&lt;title&gt;Letters to Solovine, 1906–1955&lt;/title&gt;&lt;/titles&gt;&lt;dates&gt;&lt;year&gt;2011&lt;/year&gt;&lt;/dates&gt;&lt;publisher&gt;Open Road Media&lt;/publisher&gt;&lt;isbn&gt;1453204849&lt;/isbn&gt;&lt;urls&gt;&lt;/urls&gt;&lt;/record&gt;&lt;/Cite&gt;&lt;/EndNote&gt;</w:instrText>
      </w:r>
      <w:r>
        <w:fldChar w:fldCharType="separate"/>
      </w:r>
      <w:r>
        <w:t>Einstein ，2011)</w:t>
      </w:r>
      <w:r>
        <w:fldChar w:fldCharType="end"/>
      </w:r>
      <w:r>
        <w:rPr>
          <w:rFonts w:hint="eastAsia"/>
        </w:rPr>
        <w:t>认为，西方科学的发展基于两个伟大成就：一是希腊哲学家发明的以欧几里德几何学为表现形式的形式逻辑体系，二是文艺复兴时期</w:t>
      </w:r>
      <w:r>
        <w:t>发展起来的</w:t>
      </w:r>
      <w:r>
        <w:rPr>
          <w:rFonts w:hint="eastAsia"/>
        </w:rPr>
        <w:t>验证两个事物之间是否存在因果关系的系统实验。根据上述关于科学的论述和牛顿经典力学三大运动定律的数学表述方式，本文把数学化科学方法论归纳总结为：</w:t>
      </w:r>
      <w:r>
        <w:t>数学化</w:t>
      </w:r>
      <w:r>
        <w:rPr>
          <w:rFonts w:hint="eastAsia"/>
        </w:rPr>
        <w:t>科学理论是</w:t>
      </w:r>
      <w:r>
        <w:rPr>
          <w:rFonts w:hint="default"/>
        </w:rPr>
        <w:t>科学家</w:t>
      </w:r>
      <w:r>
        <w:rPr>
          <w:rFonts w:hint="eastAsia"/>
        </w:rPr>
        <w:t>为研究某事物</w:t>
      </w:r>
      <w:r>
        <w:t>发展规律而主观构建</w:t>
      </w:r>
      <w:r>
        <w:rPr>
          <w:rFonts w:hint="eastAsia"/>
        </w:rPr>
        <w:t>的</w:t>
      </w:r>
      <w:r>
        <w:rPr>
          <w:rFonts w:hint="default"/>
        </w:rPr>
        <w:t>用数学符号、函数和方程表达的</w:t>
      </w:r>
      <w:r>
        <w:rPr>
          <w:rFonts w:hint="eastAsia"/>
          <w:lang w:val="en-US" w:eastAsia="zh-CN"/>
        </w:rPr>
        <w:t>关于该科目的</w:t>
      </w:r>
      <w:r>
        <w:rPr>
          <w:rFonts w:hint="eastAsia"/>
        </w:rPr>
        <w:t>形式逻辑体系。首先将研究目标抽象成数学体，构建描述该数学体的坐标体系，以确定描述该数学体特性的</w:t>
      </w:r>
      <w:r>
        <w:t>数学</w:t>
      </w:r>
      <w:r>
        <w:rPr>
          <w:rFonts w:hint="eastAsia"/>
        </w:rPr>
        <w:t>变量</w:t>
      </w:r>
      <w:r>
        <w:t>。</w:t>
      </w:r>
      <w:r>
        <w:rPr>
          <w:rFonts w:hint="eastAsia"/>
        </w:rPr>
        <w:t>然后</w:t>
      </w:r>
      <w:r>
        <w:t>提出关于该研究目标的</w:t>
      </w:r>
      <w:r>
        <w:rPr>
          <w:rFonts w:hint="eastAsia"/>
        </w:rPr>
        <w:t>某些</w:t>
      </w:r>
      <w:r>
        <w:t>互相独立的基本活动规律假设</w:t>
      </w:r>
      <w:r>
        <w:rPr>
          <w:rFonts w:hint="eastAsia"/>
        </w:rPr>
        <w:t>，</w:t>
      </w:r>
      <w:r>
        <w:t>用数学方程表达作为该科目科学理论的基础逻辑。</w:t>
      </w:r>
      <w:r>
        <w:rPr>
          <w:rFonts w:hint="eastAsia"/>
        </w:rPr>
        <w:t>最后</w:t>
      </w:r>
      <w:r>
        <w:t>在该基础逻辑的基础上</w:t>
      </w:r>
      <w:r>
        <w:rPr>
          <w:rFonts w:hint="eastAsia"/>
        </w:rPr>
        <w:t>用实验或现实数据</w:t>
      </w:r>
      <w:r>
        <w:t>对该科目</w:t>
      </w:r>
      <w:r>
        <w:rPr>
          <w:rFonts w:hint="eastAsia"/>
        </w:rPr>
        <w:t>的基本</w:t>
      </w:r>
      <w:r>
        <w:t>活动</w:t>
      </w:r>
      <w:r>
        <w:rPr>
          <w:rFonts w:hint="eastAsia"/>
        </w:rPr>
        <w:t>规律</w:t>
      </w:r>
      <w:r>
        <w:t>和</w:t>
      </w:r>
      <w:r>
        <w:rPr>
          <w:rFonts w:hint="eastAsia"/>
        </w:rPr>
        <w:t>演绎出的</w:t>
      </w:r>
      <w:r>
        <w:t>其它活动</w:t>
      </w:r>
      <w:r>
        <w:rPr>
          <w:rFonts w:hint="eastAsia"/>
        </w:rPr>
        <w:t>规律做实证。</w:t>
      </w:r>
      <w:r>
        <w:t>基本规律</w:t>
      </w:r>
      <w:r>
        <w:rPr>
          <w:rFonts w:hint="eastAsia"/>
        </w:rPr>
        <w:t>假设</w:t>
      </w:r>
      <w:r>
        <w:t>是无法证明的，这是其被称为基本规律</w:t>
      </w:r>
      <w:r>
        <w:rPr>
          <w:rFonts w:hint="eastAsia"/>
        </w:rPr>
        <w:t>假设</w:t>
      </w:r>
      <w:r>
        <w:t>的原因</w:t>
      </w:r>
      <w:r>
        <w:rPr>
          <w:rFonts w:hint="eastAsia"/>
        </w:rPr>
        <w:t>，但</w:t>
      </w:r>
      <w:r>
        <w:t>基本规律</w:t>
      </w:r>
      <w:r>
        <w:rPr>
          <w:rFonts w:hint="eastAsia"/>
        </w:rPr>
        <w:t>假设</w:t>
      </w:r>
      <w:r>
        <w:t>可以用实验或现实数据进行证伪。</w:t>
      </w:r>
      <w:r>
        <w:rPr>
          <w:rFonts w:hint="eastAsia"/>
        </w:rPr>
        <w:t>只有</w:t>
      </w:r>
      <w:r>
        <w:t>基本规律</w:t>
      </w:r>
      <w:r>
        <w:rPr>
          <w:rFonts w:hint="eastAsia"/>
        </w:rPr>
        <w:t>假设</w:t>
      </w:r>
      <w:r>
        <w:t>和</w:t>
      </w:r>
      <w:r>
        <w:rPr>
          <w:rFonts w:hint="eastAsia"/>
        </w:rPr>
        <w:t>演绎出的</w:t>
      </w:r>
      <w:r>
        <w:t>其它活动规律</w:t>
      </w:r>
      <w:r>
        <w:rPr>
          <w:rFonts w:hint="eastAsia"/>
        </w:rPr>
        <w:t>能得到实验或现实数据支持并能通过证伪考验</w:t>
      </w:r>
      <w:r>
        <w:t>，该</w:t>
      </w:r>
      <w:r>
        <w:rPr>
          <w:rFonts w:hint="eastAsia"/>
        </w:rPr>
        <w:t>科学理论才有意义。上述构建科学理论的方法论称为数学化科学方法论。</w:t>
      </w:r>
    </w:p>
    <w:p>
      <w:pPr>
        <w:pStyle w:val="4"/>
        <w:ind w:firstLine="420"/>
      </w:pPr>
      <w:r>
        <w:rPr>
          <w:rFonts w:hint="eastAsia"/>
        </w:rPr>
        <w:t>（二）遵循数学化科学方法论的经济理论</w:t>
      </w:r>
    </w:p>
    <w:p>
      <w:pPr>
        <w:rPr>
          <w:color w:val="231F20"/>
          <w:kern w:val="0"/>
          <w:lang w:bidi="ar"/>
        </w:rPr>
      </w:pPr>
      <w:r>
        <w:rPr>
          <w:rFonts w:hint="eastAsia"/>
          <w:color w:val="231F20"/>
        </w:rPr>
        <w:t>关于什么是经济理论，有过</w:t>
      </w:r>
      <w:r>
        <w:rPr>
          <w:rFonts w:hint="eastAsia"/>
          <w:color w:val="231F20"/>
          <w:lang w:val="en-US" w:eastAsia="zh-CN"/>
        </w:rPr>
        <w:t>各种</w:t>
      </w:r>
      <w:r>
        <w:rPr>
          <w:rFonts w:hint="eastAsia"/>
          <w:color w:val="231F20"/>
        </w:rPr>
        <w:t>阐述。</w:t>
      </w:r>
      <w:r>
        <w:rPr>
          <w:rFonts w:hint="eastAsia"/>
          <w:color w:val="231F20"/>
          <w:lang w:val="en-US" w:eastAsia="zh-CN"/>
        </w:rPr>
        <w:t>瓦尔德（</w:t>
      </w:r>
      <w:r>
        <w:rPr>
          <w:color w:val="231F20"/>
        </w:rPr>
        <w:fldChar w:fldCharType="begin"/>
      </w:r>
      <w:r>
        <w:rPr>
          <w:color w:val="231F20"/>
        </w:rPr>
        <w:instrText xml:space="preserve"> ADDIN EN.CITE &lt;EndNote&gt;&lt;Cite AuthorYear="1"&gt;&lt;Author&gt;Wald&lt;/Author&gt;&lt;Year&gt;1951&lt;/Year&gt;&lt;RecNum&gt;959&lt;/RecNum&gt;&lt;DisplayText&gt;Wald (1951)&lt;/DisplayText&gt;&lt;record&gt;&lt;rec-number&gt;959&lt;/rec-number&gt;&lt;foreign-keys&gt;&lt;key app="EN" db-id="dfw50pzpwrep2aeerx4v2xdyaa5vzeftr0xv" timestamp="1674198151"&gt;959&lt;/key&gt;&lt;/foreign-keys&gt;&lt;ref-type name="Journal Article"&gt;17&lt;/ref-type&gt;&lt;contributors&gt;&lt;authors&gt;&lt;author&gt;Wald, Abraham&lt;/author&gt;&lt;/authors&gt;&lt;/contributors&gt;&lt;titles&gt;&lt;title&gt;On some systems of equations of mathematical economics&lt;/title&gt;&lt;secondary-title&gt;Econometrica: Journal of the Econometric Society&lt;/secondary-title&gt;&lt;/titles&gt;&lt;periodical&gt;&lt;full-title&gt;Econometrica: Journal of the Econometric Society&lt;/full-title&gt;&lt;/periodical&gt;&lt;pages&gt;368-403&lt;/pages&gt;&lt;dates&gt;&lt;year&gt;1951&lt;/year&gt;&lt;/dates&gt;&lt;publisher&gt;JSTOR&lt;/publisher&gt;&lt;isbn&gt;0012-9682&lt;/isbn&gt;&lt;urls&gt;&lt;/urls&gt;&lt;/record&gt;&lt;/Cite&gt;&lt;/EndNote&gt;</w:instrText>
      </w:r>
      <w:r>
        <w:rPr>
          <w:color w:val="231F20"/>
        </w:rPr>
        <w:fldChar w:fldCharType="separate"/>
      </w:r>
      <w:r>
        <w:rPr>
          <w:color w:val="231F20"/>
        </w:rPr>
        <w:t xml:space="preserve">Wald </w:t>
      </w:r>
      <w:r>
        <w:rPr>
          <w:rFonts w:hint="eastAsia"/>
          <w:color w:val="231F20"/>
          <w:lang w:eastAsia="zh-CN"/>
        </w:rPr>
        <w:t>，</w:t>
      </w:r>
      <w:r>
        <w:rPr>
          <w:color w:val="231F20"/>
        </w:rPr>
        <w:t>1951)</w:t>
      </w:r>
      <w:r>
        <w:rPr>
          <w:color w:val="231F20"/>
        </w:rPr>
        <w:fldChar w:fldCharType="end"/>
      </w:r>
      <w:r>
        <w:rPr>
          <w:rFonts w:hint="eastAsia"/>
        </w:rPr>
        <w:t>称经济理论为数学经济学，主张用数学公式和数学关系对经济活动进行分析和表达。但其也指出数学经济学表达的是严格遵守假设条件的理想经济活动的规律，只有真实的经济活动严格精确地符合其假设条件时，数学经济学的结论对现实经济活动分析的结论才成立。</w:t>
      </w:r>
      <w:r>
        <w:rPr>
          <w:rFonts w:hint="eastAsia"/>
          <w:lang w:val="en-US" w:eastAsia="zh-CN"/>
        </w:rPr>
        <w:t>索洛（</w:t>
      </w:r>
      <w:r>
        <w:fldChar w:fldCharType="begin"/>
      </w:r>
      <w:r>
        <w:instrText xml:space="preserve"> ADDIN EN.CITE &lt;EndNote&gt;&lt;Cite AuthorYear="1"&gt;&lt;Author&gt;Solow&lt;/Author&gt;&lt;Year&gt;1956&lt;/Year&gt;&lt;RecNum&gt;958&lt;/RecNum&gt;&lt;DisplayText&gt;Solow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 xml:space="preserve">Solow </w:t>
      </w:r>
      <w:r>
        <w:rPr>
          <w:rFonts w:hint="eastAsia"/>
          <w:lang w:eastAsia="zh-CN"/>
        </w:rPr>
        <w:t>，</w:t>
      </w:r>
      <w:r>
        <w:t>1956)</w:t>
      </w:r>
      <w:r>
        <w:fldChar w:fldCharType="end"/>
      </w:r>
      <w:r>
        <w:rPr>
          <w:rFonts w:hint="eastAsia"/>
        </w:rPr>
        <w:t>认为经济理论建立在若干不完全真实的经过简化的假设基础上，而提出假设需要简化现实经济活动是不可避免的。经济理论的结论往往取决于其关键的假设，如果简化的假设有误，在其基础上构建的经济理论也会出现问题。</w:t>
      </w:r>
      <w:r>
        <w:rPr>
          <w:rFonts w:hint="eastAsia"/>
          <w:lang w:val="en-US" w:eastAsia="zh-CN"/>
        </w:rPr>
        <w:t>卢卡斯（</w:t>
      </w:r>
      <w:r>
        <w:fldChar w:fldCharType="begin"/>
      </w:r>
      <w:r>
        <w:instrText xml:space="preserve"> ADDIN EN.CITE &lt;EndNote&gt;&lt;Cite AuthorYear="1"&gt;&lt;Author&gt;Lucas Jr&lt;/Author&gt;&lt;Year&gt;1988&lt;/Year&gt;&lt;RecNum&gt;954&lt;/RecNum&gt;&lt;DisplayText&gt;Lucas Jr (1988)&lt;/DisplayText&gt;&lt;record&gt;&lt;rec-number&gt;954&lt;/rec-number&gt;&lt;foreign-keys&gt;&lt;key app="EN" db-id="dfw50pzpwrep2aeerx4v2xdyaa5vzeftr0xv" timestamp="1674198044"&gt;954&lt;/key&gt;&lt;/foreign-keys&gt;&lt;ref-type name="Journal Article"&gt;17&lt;/ref-type&gt;&lt;contributors&gt;&lt;authors&gt;&lt;author&gt;Lucas Jr, Robert E.&lt;/author&gt;&lt;/authors&gt;&lt;/contributors&gt;&lt;titles&gt;&lt;title&gt;On the mechanics of economic development&lt;/title&gt;&lt;secondary-title&gt;Journal of monetary economics&lt;/secondary-title&gt;&lt;/titles&gt;&lt;periodical&gt;&lt;full-title&gt;Journal of monetary economics&lt;/full-title&gt;&lt;/periodical&gt;&lt;pages&gt;3-42&lt;/pages&gt;&lt;volume&gt;22&lt;/volume&gt;&lt;number&gt;1&lt;/number&gt;&lt;dates&gt;&lt;year&gt;1988&lt;/year&gt;&lt;/dates&gt;&lt;publisher&gt;Elsevier&lt;/publisher&gt;&lt;isbn&gt;0304-3932&lt;/isbn&gt;&lt;urls&gt;&lt;/urls&gt;&lt;/record&gt;&lt;/Cite&gt;&lt;/EndNote&gt;</w:instrText>
      </w:r>
      <w:r>
        <w:fldChar w:fldCharType="separate"/>
      </w:r>
      <w:r>
        <w:t>Lucas</w:t>
      </w:r>
      <w:r>
        <w:rPr>
          <w:rFonts w:hint="eastAsia"/>
          <w:lang w:eastAsia="zh-CN"/>
        </w:rPr>
        <w:t>，</w:t>
      </w:r>
      <w:r>
        <w:t>1988)</w:t>
      </w:r>
      <w:r>
        <w:fldChar w:fldCharType="end"/>
      </w:r>
      <w:r>
        <w:rPr>
          <w:rFonts w:hint="eastAsia"/>
        </w:rPr>
        <w:t>指出论述的经济理论是狭义的，指的是</w:t>
      </w:r>
      <w:bookmarkEnd w:id="2"/>
      <w:r>
        <w:rPr>
          <w:rFonts w:hint="eastAsia"/>
        </w:rPr>
        <w:t>将现实经济活动的特性通过机人工想象的器人模拟在计算机上计算出来</w:t>
      </w:r>
      <w:r>
        <w:rPr>
          <w:rFonts w:hint="eastAsia"/>
          <w:color w:val="000000"/>
          <w:kern w:val="0"/>
          <w:lang w:bidi="ar"/>
        </w:rPr>
        <w:t>。</w:t>
      </w:r>
      <w:r>
        <w:rPr>
          <w:rFonts w:hint="eastAsia"/>
        </w:rPr>
        <w:t>关于什么是经济理论及其方法论，</w:t>
      </w:r>
      <w:r>
        <w:rPr>
          <w:rFonts w:hint="eastAsia"/>
          <w:lang w:val="en-US" w:eastAsia="zh-CN"/>
        </w:rPr>
        <w:t>弗里德曼（</w:t>
      </w:r>
      <w:r>
        <w:fldChar w:fldCharType="begin"/>
      </w:r>
      <w:r>
        <w:instrText xml:space="preserve"> ADDIN EN.CITE &lt;EndNote&gt;&lt;Cite AuthorYear="1"&gt;&lt;Author&gt;Friedman&lt;/Author&gt;&lt;Year&gt;1953&lt;/Year&gt;&lt;RecNum&gt;950&lt;/RecNum&gt;&lt;DisplayText&gt;Friedman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 xml:space="preserve">Friedman </w:t>
      </w:r>
      <w:r>
        <w:rPr>
          <w:rFonts w:hint="eastAsia"/>
          <w:lang w:eastAsia="zh-CN"/>
        </w:rPr>
        <w:t>，</w:t>
      </w:r>
      <w:r>
        <w:t>1953)</w:t>
      </w:r>
      <w:r>
        <w:fldChar w:fldCharType="end"/>
      </w:r>
      <w:r>
        <w:rPr>
          <w:rFonts w:hint="eastAsia"/>
        </w:rPr>
        <w:t>认为经济学是基于若干被普遍认可的总结而对经济活动的结果和经济环境变化进行预测的实证科学。经济理论实际上是一些综合假设的复合体，其有效的判断标准在于其对真实经济活动是否有良好的预测和解释能力。</w:t>
      </w:r>
      <w:r>
        <w:rPr>
          <w:rFonts w:hint="eastAsia"/>
          <w:color w:val="231F20"/>
          <w:kern w:val="0"/>
          <w:lang w:bidi="ar"/>
        </w:rPr>
        <w:t>如果经济活动结果与经济理论的预测一致，可以说经济活动现实支持这个假设，或者说经济活动的结果不能证伪这个假设，但不代表经济活动的这个结果证明了这个假设，也无法通过考察假设是否与现实一致而判断理论是否正确。</w:t>
      </w:r>
    </w:p>
    <w:p>
      <w:r>
        <w:rPr>
          <w:rFonts w:hint="eastAsia"/>
        </w:rPr>
        <w:t>上述学者论述的经济理论实际上</w:t>
      </w:r>
      <w:r>
        <w:rPr>
          <w:rFonts w:hint="default"/>
        </w:rPr>
        <w:t>是</w:t>
      </w:r>
      <w:r>
        <w:rPr>
          <w:rFonts w:hint="eastAsia"/>
        </w:rPr>
        <w:t>遵循数学化科学方法论的经济理论，但本文认为存在三点不足：第一，没有明确指出经济理论是人们主观构建的形式逻辑体系；第二，没有提出关于市场经济的基本规律假设，新古典学派和凯恩斯学派在阐述其经济理论时也未提出关于市场经济的基本规律假设；第三，新古典学派或凯恩斯学派并没有对主张的经济理论赖以成立的基本规律假设做证伪考验。</w:t>
      </w:r>
      <w:r>
        <w:rPr>
          <w:rFonts w:hint="default"/>
        </w:rPr>
        <w:t>本文认为，</w:t>
      </w:r>
      <w:r>
        <w:rPr>
          <w:rFonts w:ascii="宋体" w:hAnsi="宋体" w:cs="宋体"/>
        </w:rPr>
        <w:t>主流经济理论</w:t>
      </w:r>
      <w:r>
        <w:rPr>
          <w:rFonts w:hint="eastAsia" w:ascii="宋体" w:hAnsi="宋体" w:cs="宋体"/>
        </w:rPr>
        <w:t>一直</w:t>
      </w:r>
      <w:r>
        <w:rPr>
          <w:rFonts w:ascii="宋体" w:hAnsi="宋体" w:cs="宋体"/>
        </w:rPr>
        <w:t>毫无疑问地</w:t>
      </w:r>
      <w:r>
        <w:rPr>
          <w:rFonts w:hint="eastAsia" w:ascii="宋体" w:hAnsi="宋体" w:cs="宋体"/>
        </w:rPr>
        <w:t>认为自由市场经济在理想条件下能自身实现最优化发展，一般均衡是其不言自明</w:t>
      </w:r>
      <w:r>
        <w:rPr>
          <w:rFonts w:ascii="宋体" w:hAnsi="宋体" w:cs="宋体"/>
        </w:rPr>
        <w:t>的基本规律假设</w:t>
      </w:r>
      <w:r>
        <w:rPr>
          <w:rFonts w:hint="eastAsia" w:ascii="宋体" w:hAnsi="宋体" w:cs="宋体"/>
        </w:rPr>
        <w:t>，这是主流经济学家在阐述其经济理论模型时一般不特别指出基本规律假设，也不对其基本规律假设做证伪考验的原因。</w:t>
      </w:r>
    </w:p>
    <w:p>
      <w:r>
        <w:rPr>
          <w:rFonts w:hint="eastAsia"/>
        </w:rPr>
        <w:t>自然科学</w:t>
      </w:r>
      <w:r>
        <w:rPr>
          <w:rFonts w:hint="default"/>
        </w:rPr>
        <w:t>把研究目标</w:t>
      </w:r>
      <w:r>
        <w:rPr>
          <w:rFonts w:hint="eastAsia"/>
        </w:rPr>
        <w:t>抽象成数学体，比如</w:t>
      </w:r>
      <w:r>
        <w:rPr>
          <w:rFonts w:hint="default"/>
        </w:rPr>
        <w:t>把形状形态各异的具体</w:t>
      </w:r>
      <w:r>
        <w:rPr>
          <w:rFonts w:hint="eastAsia"/>
        </w:rPr>
        <w:t>运动</w:t>
      </w:r>
      <w:r>
        <w:rPr>
          <w:rFonts w:hint="default"/>
        </w:rPr>
        <w:t>物体抽象成数学意义上</w:t>
      </w:r>
      <w:r>
        <w:rPr>
          <w:rFonts w:hint="eastAsia"/>
        </w:rPr>
        <w:t>的质点。同样，经济科学也可以把</w:t>
      </w:r>
      <w:r>
        <w:rPr>
          <w:rFonts w:hint="default"/>
        </w:rPr>
        <w:t>现实具体的</w:t>
      </w:r>
      <w:r>
        <w:rPr>
          <w:rFonts w:hint="eastAsia"/>
        </w:rPr>
        <w:t>市场经济主体（如个人、企业和政府）抽象成数学体。</w:t>
      </w:r>
      <w:r>
        <w:rPr>
          <w:rFonts w:hint="default"/>
        </w:rPr>
        <w:t>这样</w:t>
      </w:r>
      <w:r>
        <w:rPr>
          <w:rFonts w:hint="eastAsia"/>
        </w:rPr>
        <w:t>，经济理论就可以成为规范的科学理论。</w:t>
      </w:r>
    </w:p>
    <w:p>
      <w:r>
        <w:rPr>
          <w:rFonts w:hint="eastAsia"/>
          <w:lang w:val="en-US" w:eastAsia="zh-CN"/>
        </w:rPr>
        <w:t>综合以上本文认为：</w:t>
      </w:r>
      <w:r>
        <w:t>遵循数学化科学方法论的市场经济理论</w:t>
      </w:r>
      <w:r>
        <w:rPr>
          <w:rFonts w:hint="eastAsia"/>
        </w:rPr>
        <w:t>是</w:t>
      </w:r>
      <w:r>
        <w:rPr>
          <w:rFonts w:hint="eastAsia"/>
          <w:lang w:val="en-US" w:eastAsia="zh-CN"/>
        </w:rPr>
        <w:t>经济学</w:t>
      </w:r>
      <w:r>
        <w:rPr>
          <w:rFonts w:hint="default"/>
        </w:rPr>
        <w:t>家</w:t>
      </w:r>
      <w:r>
        <w:rPr>
          <w:rFonts w:hint="eastAsia"/>
        </w:rPr>
        <w:t>为研究</w:t>
      </w:r>
      <w:r>
        <w:rPr>
          <w:rFonts w:hint="eastAsia"/>
          <w:lang w:val="en-US" w:eastAsia="zh-CN"/>
        </w:rPr>
        <w:t>市场经济</w:t>
      </w:r>
      <w:r>
        <w:t>发展规律而主观构建</w:t>
      </w:r>
      <w:r>
        <w:rPr>
          <w:rFonts w:hint="eastAsia"/>
        </w:rPr>
        <w:t>的</w:t>
      </w:r>
      <w:r>
        <w:rPr>
          <w:rFonts w:hint="default"/>
        </w:rPr>
        <w:t>用数学符号、函数和方程表达的</w:t>
      </w:r>
      <w:r>
        <w:rPr>
          <w:rFonts w:hint="eastAsia"/>
          <w:lang w:val="en-US" w:eastAsia="zh-CN"/>
        </w:rPr>
        <w:t>关于市场经济发展规律的</w:t>
      </w:r>
      <w:r>
        <w:rPr>
          <w:rFonts w:hint="eastAsia"/>
        </w:rPr>
        <w:t>形式逻辑体系</w:t>
      </w:r>
      <w:r>
        <w:rPr>
          <w:rFonts w:hint="eastAsia"/>
          <w:lang w:eastAsia="zh-CN"/>
        </w:rPr>
        <w:t>。</w:t>
      </w:r>
      <w:r>
        <w:rPr>
          <w:rFonts w:hint="eastAsia"/>
        </w:rPr>
        <w:t>首先</w:t>
      </w:r>
      <w:r>
        <w:t>把市场经济主体</w:t>
      </w:r>
      <w:r>
        <w:rPr>
          <w:rFonts w:hint="eastAsia"/>
        </w:rPr>
        <w:t>抽象成数学体，构建坐标体系，确定</w:t>
      </w:r>
      <w:r>
        <w:rPr>
          <w:rFonts w:hint="default"/>
        </w:rPr>
        <w:t>经济</w:t>
      </w:r>
      <w:r>
        <w:rPr>
          <w:rFonts w:hint="eastAsia"/>
        </w:rPr>
        <w:t>变量。然后</w:t>
      </w:r>
      <w:r>
        <w:t>提出关于市场经济的</w:t>
      </w:r>
      <w:r>
        <w:rPr>
          <w:rFonts w:hint="eastAsia"/>
        </w:rPr>
        <w:t>某些</w:t>
      </w:r>
      <w:r>
        <w:t>互相独立的基本规律假设</w:t>
      </w:r>
      <w:r>
        <w:rPr>
          <w:rFonts w:hint="eastAsia"/>
        </w:rPr>
        <w:t>，并</w:t>
      </w:r>
      <w:r>
        <w:t>在</w:t>
      </w:r>
      <w:r>
        <w:rPr>
          <w:rFonts w:hint="eastAsia"/>
        </w:rPr>
        <w:t>此</w:t>
      </w:r>
      <w:r>
        <w:t>基础上演绎</w:t>
      </w:r>
      <w:r>
        <w:rPr>
          <w:rFonts w:hint="eastAsia"/>
        </w:rPr>
        <w:t>市场经济的其它活动规律。最后用实验或现实数据对这些规律做实证。只有</w:t>
      </w:r>
      <w:r>
        <w:t>市场经济基本</w:t>
      </w:r>
      <w:r>
        <w:rPr>
          <w:rFonts w:hint="eastAsia"/>
        </w:rPr>
        <w:t>假设和</w:t>
      </w:r>
      <w:r>
        <w:t>在</w:t>
      </w:r>
      <w:r>
        <w:rPr>
          <w:rFonts w:hint="eastAsia"/>
        </w:rPr>
        <w:t>基本规律假设</w:t>
      </w:r>
      <w:r>
        <w:t>基础上</w:t>
      </w:r>
      <w:r>
        <w:rPr>
          <w:rFonts w:hint="eastAsia"/>
        </w:rPr>
        <w:t>演绎出的市场经济</w:t>
      </w:r>
      <w:r>
        <w:t>其它活动规律</w:t>
      </w:r>
      <w:r>
        <w:rPr>
          <w:rFonts w:hint="eastAsia"/>
        </w:rPr>
        <w:t>能得到实验数据或现实数据支持，同时经得其任何实验数据或现实数据的证伪考验</w:t>
      </w:r>
      <w:r>
        <w:t>，该经济理论</w:t>
      </w:r>
      <w:r>
        <w:rPr>
          <w:rFonts w:hint="eastAsia"/>
        </w:rPr>
        <w:t>才有意义。</w:t>
      </w:r>
    </w:p>
    <w:p>
      <w:pPr>
        <w:pStyle w:val="4"/>
        <w:ind w:firstLine="420"/>
      </w:pPr>
      <w:r>
        <w:rPr>
          <w:rFonts w:hint="eastAsia"/>
        </w:rPr>
        <w:t>（三）主流市场经济理论及其基本规律假设</w:t>
      </w:r>
    </w:p>
    <w:p>
      <w:r>
        <w:rPr>
          <w:rFonts w:hint="eastAsia"/>
        </w:rPr>
        <w:t>新古典学派和凯恩斯学派一般被称为主流经济理论</w:t>
      </w:r>
      <w:r>
        <w:rPr>
          <w:rFonts w:hint="default"/>
        </w:rPr>
        <w:t>。</w:t>
      </w:r>
      <w:r>
        <w:rPr>
          <w:rFonts w:hint="eastAsia"/>
        </w:rPr>
        <w:t>关于市场经济的基本规律假设，主流经济理论有重要影响的经济理论著作或论文包括：1776年亚当•斯密发表《</w:t>
      </w:r>
      <w:r>
        <w:rPr>
          <w:rFonts w:hint="eastAsia"/>
          <w:lang w:val="en-US" w:eastAsia="zh-CN"/>
        </w:rPr>
        <w:t>国民财富的性质与原因研究（国富论）</w:t>
      </w:r>
      <w:r>
        <w:rPr>
          <w:rFonts w:hint="eastAsia"/>
        </w:rPr>
        <w:t>》，认为在没有政府干预的简单经济体系里市场看不见的手使劳动力自动地实现优化社会分工，使市场经济能自身实现最优化发展</w:t>
      </w:r>
      <w:r>
        <w:fldChar w:fldCharType="begin"/>
      </w:r>
      <w:r>
        <w:instrText xml:space="preserve"> ADDIN EN.CITE &lt;EndNote&gt;&lt;Cite&gt;&lt;Author&gt;Smith&lt;/Author&gt;&lt;Year&gt;1776&lt;/Year&gt;&lt;RecNum&gt;965&lt;/RecNum&gt;&lt;DisplayText&gt;(Smith, 1776)&lt;/DisplayText&gt;&lt;record&gt;&lt;rec-number&gt;965&lt;/rec-number&gt;&lt;foreign-keys&gt;&lt;key app="EN" db-id="dfw50pzpwrep2aeerx4v2xdyaa5vzeftr0xv" timestamp="1675571693"&gt;965&lt;/key&gt;&lt;/foreign-keys&gt;&lt;ref-type name="Book Section"&gt;5&lt;/ref-type&gt;&lt;contributors&gt;&lt;authors&gt;&lt;author&gt;Smith, Adam&lt;/author&gt;&lt;/authors&gt;&lt;/contributors&gt;&lt;titles&gt;&lt;title&gt;An inquiry into the nature and causes of the wealth of nations: Volume One&lt;/title&gt;&lt;/titles&gt;&lt;dates&gt;&lt;year&gt;1776&lt;/year&gt;&lt;/dates&gt;&lt;publisher&gt;London: printed for W. Strahan; and T. Cadell, 1776.&lt;/publisher&gt;&lt;urls&gt;&lt;/urls&gt;&lt;/record&gt;&lt;/Cite&gt;&lt;/EndNote&gt;</w:instrText>
      </w:r>
      <w:r>
        <w:fldChar w:fldCharType="separate"/>
      </w:r>
      <w:r>
        <w:t>(Smith, 1776)</w:t>
      </w:r>
      <w:r>
        <w:fldChar w:fldCharType="end"/>
      </w:r>
      <w:r>
        <w:rPr>
          <w:rFonts w:hint="eastAsia"/>
        </w:rPr>
        <w:t>。1874年瓦尔拉斯发表《纯粹政治经济学</w:t>
      </w:r>
      <w:r>
        <w:rPr>
          <w:rFonts w:hint="eastAsia"/>
          <w:lang w:val="en-US" w:eastAsia="zh-CN"/>
        </w:rPr>
        <w:t>纲</w:t>
      </w:r>
      <w:r>
        <w:rPr>
          <w:rFonts w:hint="eastAsia"/>
        </w:rPr>
        <w:t>要》开创了一般均衡理论，1890年阿尔弗雷德•马歇尔1890年发表《经济学原理》建立了新古典学派的均衡分析方法</w:t>
      </w:r>
      <w:r>
        <w:fldChar w:fldCharType="begin"/>
      </w:r>
      <w:r>
        <w:rPr>
          <w:rFonts w:hint="eastAsia"/>
        </w:rPr>
        <w:instrText xml:space="preserve"> ADDIN EN.CITE &lt;EndNote&gt;&lt;Cite&gt;&lt;Author&gt;付才辉&lt;/Author&gt;&lt;Year&gt;2018&lt;/Year&gt;&lt;RecNum&gt;963&lt;/RecNum&gt;&lt;DisplayText&gt;(付才辉, 2018)&lt;/DisplayText&gt;&lt;record&gt;&lt;rec-number&gt;963&lt;/rec-number&gt;&lt;foreign-keys&gt;&lt;key app="EN" db-id="dfw50pzpwrep2aeerx4v2xdyaa5vzeftr0xv" timestamp="1674698370"&gt;963&lt;/key&gt;&lt;/foreign-keys&gt;&lt;ref-type name="Journal Article"&gt;17&lt;/ref-type&gt;&lt;contributors&gt;&lt;authors&gt;&lt;author&gt;&lt;style face="normal" font="default" charset="134" size="100%"&gt;付才辉&lt;/style&gt;&lt;/author&gt;&lt;/authors&gt;&lt;/contributors&gt;&lt;titles&gt;&lt;title&gt;&lt;style face="normal" font="default" charset="134" size="100%"&gt;最优生产函数理论——从新古典经济学向新结构经济学的范式转换&lt;/style&gt;&lt;/title&gt;&lt;secondary-title&gt;&lt;style face="normal" font="default" charset="134" size="100%"&gt;经济评论&lt;/style&gt;&lt;/secondary-title&gt;&lt;/titles&gt;&lt;periodical&gt;&lt;full-title&gt;经济评论&lt;/full-title&gt;&lt;/periodical&gt;&lt;pages&gt;3-46&lt;/pages&gt;&lt;number&gt;01&lt;/number&gt;&lt;keywords&gt;&lt;keyword&gt;新古典经济学&lt;/keyword&gt;&lt;keyword&gt;新结构经济学&lt;/keyword&gt;&lt;keyword&gt;马克思政治经济学&lt;/keyword&gt;&lt;keyword&gt;最优生产函数&lt;/keyword&gt;&lt;/keywords&gt;&lt;dates&gt;&lt;year&gt;2018&lt;/year&gt;&lt;/dates&gt;&lt;urls&gt;&lt;/urls&gt;&lt;/record&gt;&lt;/Cite&gt;&lt;/EndNote&gt;</w:instrText>
      </w:r>
      <w:r>
        <w:fldChar w:fldCharType="separate"/>
      </w:r>
      <w:r>
        <w:rPr>
          <w:rFonts w:hint="eastAsia"/>
        </w:rPr>
        <w:t>(付才辉, 2018)</w:t>
      </w:r>
      <w:r>
        <w:fldChar w:fldCharType="end"/>
      </w:r>
      <w:r>
        <w:rPr>
          <w:rFonts w:hint="eastAsia"/>
        </w:rPr>
        <w:t>。1937年凯恩斯发表《</w:t>
      </w:r>
      <w:r>
        <w:rPr>
          <w:rFonts w:hint="eastAsia"/>
          <w:lang w:val="en-US" w:eastAsia="zh-CN"/>
        </w:rPr>
        <w:t>就业</w:t>
      </w:r>
      <w:r>
        <w:rPr>
          <w:rFonts w:hint="eastAsia" w:ascii="微软雅黑" w:hAnsi="微软雅黑" w:eastAsia="微软雅黑" w:cs="微软雅黑"/>
          <w:lang w:val="en-US" w:eastAsia="zh-CN"/>
        </w:rPr>
        <w:t>、</w:t>
      </w:r>
      <w:r>
        <w:rPr>
          <w:rFonts w:hint="eastAsia"/>
          <w:lang w:val="en-US" w:eastAsia="zh-CN"/>
        </w:rPr>
        <w:t>利息与货币通论</w:t>
      </w:r>
      <w:r>
        <w:rPr>
          <w:rFonts w:hint="eastAsia"/>
        </w:rPr>
        <w:t>》，认为自由市场经济能自身实现最优化发展是一种理想情况，现实经济活动由于工资粘性，市场经济主体信息不完备和不够理性等原因不能自身实现最优化</w:t>
      </w:r>
      <w:r>
        <w:rPr>
          <w:rFonts w:hint="eastAsia"/>
          <w:lang w:val="en-US" w:eastAsia="zh-CN"/>
        </w:rPr>
        <w:t>发展，将出现劳动力失业。政府应该提高社会支出，提高社会需求以降低失业率</w:t>
      </w:r>
      <w:r>
        <w:fldChar w:fldCharType="begin"/>
      </w:r>
      <w:r>
        <w:instrText xml:space="preserve"> ADDIN EN.CITE &lt;EndNote&gt;&lt;Cite&gt;&lt;Author&gt;Keynes&lt;/Author&gt;&lt;Year&gt;1937&lt;/Year&gt;&lt;RecNum&gt;952&lt;/RecNum&gt;&lt;DisplayText&gt;(Keynes, 1937)&lt;/DisplayText&gt;&lt;record&gt;&lt;rec-number&gt;952&lt;/rec-number&gt;&lt;foreign-keys&gt;&lt;key app="EN" db-id="dfw50pzpwrep2aeerx4v2xdyaa5vzeftr0xv" timestamp="1674197990"&gt;952&lt;/key&gt;&lt;/foreign-keys&gt;&lt;ref-type name="Journal Article"&gt;17&lt;/ref-type&gt;&lt;contributors&gt;&lt;authors&gt;&lt;author&gt;Keynes, John Maynard&lt;/author&gt;&lt;/authors&gt;&lt;/contributors&gt;&lt;titles&gt;&lt;title&gt;The general theory of employment&lt;/title&gt;&lt;secondary-title&gt;The quarterly journal of economics&lt;/secondary-title&gt;&lt;/titles&gt;&lt;periodical&gt;&lt;full-title&gt;The quarterly journal of economics&lt;/full-title&gt;&lt;/periodical&gt;&lt;pages&gt;209-223&lt;/pages&gt;&lt;volume&gt;51&lt;/volume&gt;&lt;number&gt;2&lt;/number&gt;&lt;dates&gt;&lt;year&gt;1937&lt;/year&gt;&lt;/dates&gt;&lt;publisher&gt;MIT press&lt;/publisher&gt;&lt;isbn&gt;1531-4650&lt;/isbn&gt;&lt;urls&gt;&lt;/urls&gt;&lt;/record&gt;&lt;/Cite&gt;&lt;/EndNote&gt;</w:instrText>
      </w:r>
      <w:r>
        <w:fldChar w:fldCharType="separate"/>
      </w:r>
      <w:r>
        <w:t>(Keynes, 1937)</w:t>
      </w:r>
      <w:r>
        <w:fldChar w:fldCharType="end"/>
      </w:r>
      <w:r>
        <w:rPr>
          <w:rFonts w:hint="eastAsia"/>
        </w:rPr>
        <w:t>。凯恩斯没有构建关于市场经济的数学模型。1937年希克斯发表《</w:t>
      </w:r>
      <w:r>
        <w:rPr>
          <w:rFonts w:hint="eastAsia"/>
          <w:lang w:val="en-US" w:eastAsia="zh-CN"/>
        </w:rPr>
        <w:t>凯恩斯与经典经济学；一种解读</w:t>
      </w:r>
      <w:r>
        <w:rPr>
          <w:rFonts w:hint="eastAsia"/>
        </w:rPr>
        <w:t>》，认为投资（储蓄），消费，货币供应量，社会产出，利率等变量之间存在互相影响的关系，并且存在一个优化稳定均衡点。具体来说，投资与利率关系曲线，货币供应量与利率关系曲线，这两条曲线的交叉点是优化稳定均衡利率点，由优化稳定均衡利率点可以推导出优化稳定均衡的社会产出</w:t>
      </w:r>
      <w:r>
        <w:fldChar w:fldCharType="begin"/>
      </w:r>
      <w:r>
        <w:instrText xml:space="preserve"> ADDIN EN.CITE &lt;EndNote&gt;&lt;Cite&gt;&lt;Author&gt;Hicks&lt;/Author&gt;&lt;Year&gt;1937&lt;/Year&gt;&lt;RecNum&gt;966&lt;/RecNum&gt;&lt;DisplayText&gt;(Hicks, 1937)&lt;/DisplayText&gt;&lt;record&gt;&lt;rec-number&gt;966&lt;/rec-number&gt;&lt;foreign-keys&gt;&lt;key app="EN" db-id="dfw50pzpwrep2aeerx4v2xdyaa5vzeftr0xv" timestamp="1675664810"&gt;966&lt;/key&gt;&lt;/foreign-keys&gt;&lt;ref-type name="Journal Article"&gt;17&lt;/ref-type&gt;&lt;contributors&gt;&lt;authors&gt;&lt;author&gt;Hicks, John R.&lt;/author&gt;&lt;/authors&gt;&lt;/contributors&gt;&lt;titles&gt;&lt;title&gt;Mr. Keynes and the&amp;quot; classics&amp;quot;; a suggested interpretation&lt;/title&gt;&lt;secondary-title&gt;Econometrica: journal of the Econometric Society&lt;/secondary-title&gt;&lt;/titles&gt;&lt;periodical&gt;&lt;full-title&gt;Econometrica: Journal of the Econometric Society&lt;/full-title&gt;&lt;/periodical&gt;&lt;pages&gt;147-159&lt;/pages&gt;&lt;dates&gt;&lt;year&gt;1937&lt;/year&gt;&lt;/dates&gt;&lt;publisher&gt;JSTOR&lt;/publisher&gt;&lt;isbn&gt;0012-9682&lt;/isbn&gt;&lt;urls&gt;&lt;/urls&gt;&lt;/record&gt;&lt;/Cite&gt;&lt;/EndNote&gt;</w:instrText>
      </w:r>
      <w:r>
        <w:fldChar w:fldCharType="separate"/>
      </w:r>
      <w:r>
        <w:t>(Hicks, 1937)</w:t>
      </w:r>
      <w:r>
        <w:fldChar w:fldCharType="end"/>
      </w:r>
      <w:r>
        <w:rPr>
          <w:rFonts w:hint="eastAsia"/>
        </w:rPr>
        <w:t>。希克斯的上述两条关系曲线被认为是凯恩斯学派的数学模型，以这两条关系曲线为基础的经济理论被称为凯恩斯学派。1954年阿罗</w:t>
      </w:r>
      <w:r>
        <w:rPr>
          <w:rFonts w:hint="eastAsia"/>
          <w:lang w:val="en-US" w:eastAsia="zh-CN"/>
        </w:rPr>
        <w:t>-</w:t>
      </w:r>
      <w:r>
        <w:rPr>
          <w:rFonts w:hint="eastAsia"/>
        </w:rPr>
        <w:t>德布鲁构建了一个数学抽象意义上存在一般均衡即商品交换竞争性均衡，商品生产竞争性均衡和商品消费时间优化路径的自由市场经济体。其商品交换存在竞争性均衡的前提条件是被交换的商品数量是有限的，商品生产存在竞争性均衡的前提条件是每一种商品的生产都符合封闭凸性子集的要求，商品效用消费存在效用优化的前提条件是每个消费者获得的商品满足凸性子集的条件</w:t>
      </w:r>
      <w:r>
        <w:fldChar w:fldCharType="begin"/>
      </w:r>
      <w:r>
        <w:instrText xml:space="preserve"> ADDIN EN.CITE &lt;EndNote&gt;&lt;Cite&gt;&lt;Author&gt;Arrow&lt;/Author&gt;&lt;Year&gt;1954&lt;/Year&gt;&lt;RecNum&gt;942&lt;/RecNum&gt;&lt;DisplayText&gt;(Kenneth J. Arrow &amp;amp; Debreu, 1954)&lt;/DisplayText&gt;&lt;record&gt;&lt;rec-number&gt;942&lt;/rec-number&gt;&lt;foreign-keys&gt;&lt;key app="EN" db-id="dfw50pzpwrep2aeerx4v2xdyaa5vzeftr0xv" timestamp="1674197497"&gt;942&lt;/key&gt;&lt;/foreign-keys&gt;&lt;ref-type name="Journal Article"&gt;17&lt;/ref-type&gt;&lt;contributors&gt;&lt;authors&gt;&lt;author&gt;Arrow, Kenneth J.&lt;/author&gt;&lt;author&gt;Debreu, Gerard&lt;/author&gt;&lt;/authors&gt;&lt;/contributors&gt;&lt;titles&gt;&lt;title&gt;Existence of an equilibrium for a competitive economy&lt;/title&gt;&lt;secondary-title&gt;Econometrica: Journal of the Econometric Society&lt;/secondary-title&gt;&lt;/titles&gt;&lt;periodical&gt;&lt;full-title&gt;Econometrica: Journal of the Econometric Society&lt;/full-title&gt;&lt;/periodical&gt;&lt;pages&gt;265-290&lt;/pages&gt;&lt;dates&gt;&lt;year&gt;1954&lt;/year&gt;&lt;/dates&gt;&lt;publisher&gt;JSTOR&lt;/publisher&gt;&lt;isbn&gt;0012-9682&lt;/isbn&gt;&lt;urls&gt;&lt;/urls&gt;&lt;/record&gt;&lt;/Cite&gt;&lt;/EndNote&gt;</w:instrText>
      </w:r>
      <w:r>
        <w:fldChar w:fldCharType="separate"/>
      </w:r>
      <w:r>
        <w:t>(Kenneth J. Arrow &amp; Debreu, 1954)</w:t>
      </w:r>
      <w:r>
        <w:fldChar w:fldCharType="end"/>
      </w:r>
      <w:r>
        <w:rPr>
          <w:rFonts w:hint="eastAsia"/>
        </w:rPr>
        <w:t>。1956年索洛用资本积累与劳动力的比例为核心变量阐述经济活动达到竞争性优化稳定状态的具体机制。设K为资本积累，L为劳动力，r=K/L。当r对时间的一阶求导等于零时，即当</w:t>
      </w:r>
      <m:oMath>
        <m:f>
          <m:fPr>
            <m:type m:val="lin"/>
            <m:ctrlPr>
              <w:rPr>
                <w:rFonts w:hint="eastAsia" w:ascii="Cambria Math" w:hAnsi="Cambria Math" w:cs="宋体"/>
                <w:i/>
              </w:rPr>
            </m:ctrlPr>
          </m:fPr>
          <m:num>
            <m:r>
              <m:rPr/>
              <w:rPr>
                <w:rFonts w:hint="eastAsia" w:ascii="Cambria Math" w:hAnsi="Cambria Math" w:cs="宋体"/>
              </w:rPr>
              <m:t>dr</m:t>
            </m:r>
            <m:ctrlPr>
              <w:rPr>
                <w:rFonts w:hint="eastAsia" w:ascii="Cambria Math" w:hAnsi="Cambria Math" w:cs="宋体"/>
                <w:i/>
              </w:rPr>
            </m:ctrlPr>
          </m:num>
          <m:den>
            <m:r>
              <m:rPr/>
              <w:rPr>
                <w:rFonts w:hint="eastAsia" w:ascii="Cambria Math" w:hAnsi="Cambria Math" w:cs="宋体"/>
              </w:rPr>
              <m:t>dt=0</m:t>
            </m:r>
            <m:ctrlPr>
              <w:rPr>
                <w:rFonts w:hint="eastAsia" w:ascii="Cambria Math" w:hAnsi="Cambria Math" w:cs="宋体"/>
                <w:i/>
              </w:rPr>
            </m:ctrlPr>
          </m:den>
        </m:f>
      </m:oMath>
      <w:r>
        <w:rPr>
          <w:rFonts w:hint="eastAsia"/>
        </w:rPr>
        <w:t>时，资本积累与劳动力的比例为r*。索洛模型成立的前提是：r*为均衡稳定点。当r&lt;r*时，市场调节将会使r增加，即资本积累K会增加直至r=r*；当r&gt;r*时，市场调节将会使r减少，即资本积累K会减少直至r=r*。索洛模型认为在r*均衡稳定点，自由市场竞争将实现劳动力全就业和资本积累完全使用</w:t>
      </w:r>
      <w:r>
        <w:fldChar w:fldCharType="begin"/>
      </w:r>
      <w:r>
        <w:instrText xml:space="preserve"> ADDIN EN.CITE &lt;EndNote&gt;&lt;Cite&gt;&lt;Author&gt;Solow&lt;/Author&gt;&lt;Year&gt;1956&lt;/Year&gt;&lt;RecNum&gt;958&lt;/RecNum&gt;&lt;DisplayText&gt;(Solow,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(Solow, 1956)</w:t>
      </w:r>
      <w:r>
        <w:fldChar w:fldCharType="end"/>
      </w:r>
      <w:r>
        <w:rPr>
          <w:rFonts w:hint="eastAsia"/>
        </w:rPr>
        <w:t>。1979年克鲁格曼发表《</w:t>
      </w:r>
      <w:r>
        <w:rPr>
          <w:rFonts w:hint="eastAsia"/>
          <w:lang w:val="en-US" w:eastAsia="zh-CN"/>
        </w:rPr>
        <w:t>国际收支平衡危机模型</w:t>
      </w:r>
      <w:r>
        <w:rPr>
          <w:rFonts w:hint="eastAsia"/>
        </w:rPr>
        <w:t>》,隐含汇率存在竞争性均衡</w:t>
      </w:r>
      <w:r>
        <w:fldChar w:fldCharType="begin"/>
      </w:r>
      <w:r>
        <w:instrText xml:space="preserve"> ADDIN EN.CITE &lt;EndNote&gt;&lt;Cite&gt;&lt;Author&gt;Krugman&lt;/Author&gt;&lt;Year&gt;1979&lt;/Year&gt;&lt;RecNum&gt;953&lt;/RecNum&gt;&lt;DisplayText&gt;(Krugman, 1979)&lt;/DisplayText&gt;&lt;record&gt;&lt;rec-number&gt;953&lt;/rec-number&gt;&lt;foreign-keys&gt;&lt;key app="EN" db-id="dfw50pzpwrep2aeerx4v2xdyaa5vzeftr0xv" timestamp="1674198020"&gt;953&lt;/key&gt;&lt;/foreign-keys&gt;&lt;ref-type name="Journal Article"&gt;17&lt;/ref-type&gt;&lt;contributors&gt;&lt;authors&gt;&lt;author&gt;Krugman, Paul&lt;/author&gt;&lt;/authors&gt;&lt;/contributors&gt;&lt;titles&gt;&lt;title&gt;A model of balance-of-payments crises&lt;/title&gt;&lt;secondary-title&gt;Journal of money, credit and banking&lt;/secondary-title&gt;&lt;/titles&gt;&lt;periodical&gt;&lt;full-title&gt;Journal of money, credit and banking&lt;/full-title&gt;&lt;/periodical&gt;&lt;pages&gt;311-325&lt;/pages&gt;&lt;volume&gt;11&lt;/volume&gt;&lt;number&gt;3&lt;/number&gt;&lt;dates&gt;&lt;year&gt;1979&lt;/year&gt;&lt;/dates&gt;&lt;publisher&gt;JSTOR&lt;/publisher&gt;&lt;isbn&gt;0022-2879&lt;/isbn&gt;&lt;urls&gt;&lt;/urls&gt;&lt;/record&gt;&lt;/Cite&gt;&lt;/EndNote&gt;</w:instrText>
      </w:r>
      <w:r>
        <w:fldChar w:fldCharType="separate"/>
      </w:r>
      <w:r>
        <w:t>(Krugman, 1979)</w:t>
      </w:r>
      <w:r>
        <w:fldChar w:fldCharType="end"/>
      </w:r>
      <w:r>
        <w:rPr>
          <w:rFonts w:hint="eastAsia"/>
        </w:rPr>
        <w:t>。罗默在索洛模型的基础上构建了知识是经济增长内生变量的数学模型，解释了美国等发达国家经济持续增长的现象，也解释了发达国家与发展中国家经济差距越来越大的现象</w:t>
      </w:r>
      <w:r>
        <w:fldChar w:fldCharType="begin"/>
      </w:r>
      <w:r>
        <w:instrText xml:space="preserve"> ADDIN EN.CITE &lt;EndNote&gt;&lt;Cite&gt;&lt;Author&gt;Romer&lt;/Author&gt;&lt;Year&gt;1990&lt;/Year&gt;&lt;RecNum&gt;957&lt;/RecNum&gt;&lt;DisplayText&gt;(Romer, 1990)&lt;/DisplayText&gt;&lt;record&gt;&lt;rec-number&gt;957&lt;/rec-number&gt;&lt;foreign-keys&gt;&lt;key app="EN" db-id="dfw50pzpwrep2aeerx4v2xdyaa5vzeftr0xv" timestamp="1674198112"&gt;957&lt;/key&gt;&lt;/foreign-keys&gt;&lt;ref-type name="Journal Article"&gt;17&lt;/ref-type&gt;&lt;contributors&gt;&lt;authors&gt;&lt;author&gt;Romer, Paul M.&lt;/author&gt;&lt;/authors&gt;&lt;/contributors&gt;&lt;titles&gt;&lt;title&gt;Endogenous technological change&lt;/title&gt;&lt;secondary-title&gt;Journal of political Economy&lt;/secondary-title&gt;&lt;/titles&gt;&lt;periodical&gt;&lt;full-title&gt;Journal of political economy&lt;/full-title&gt;&lt;/periodical&gt;&lt;pages&gt;S71-S102&lt;/pages&gt;&lt;volume&gt;98&lt;/volume&gt;&lt;number&gt;5, Part 2&lt;/number&gt;&lt;dates&gt;&lt;year&gt;1990&lt;/year&gt;&lt;/dates&gt;&lt;publisher&gt;The University of Chicago Press&lt;/publisher&gt;&lt;isbn&gt;0022-3808&lt;/isbn&gt;&lt;urls&gt;&lt;/urls&gt;&lt;/record&gt;&lt;/Cite&gt;&lt;/EndNote&gt;</w:instrText>
      </w:r>
      <w:r>
        <w:fldChar w:fldCharType="separate"/>
      </w:r>
      <w:r>
        <w:t>(Romer, 1990)</w:t>
      </w:r>
      <w:r>
        <w:fldChar w:fldCharType="end"/>
      </w:r>
      <w:r>
        <w:rPr>
          <w:rFonts w:hint="eastAsia"/>
        </w:rPr>
        <w:t>。2021年鲍尔和曼昆在索洛模型的基础上提出了优化的新古典学派经济理论模型，提出了企业市场力的假设，解释了美国等高科技企业资本回报率高于资本市场利率的现象</w:t>
      </w:r>
      <w:r>
        <w:fldChar w:fldCharType="begin"/>
      </w:r>
      <w:r>
        <w:instrText xml:space="preserve"> ADDIN EN.CITE &lt;EndNote&gt;&lt;Cite&gt;&lt;Author&gt;Ball&lt;/Author&gt;&lt;Year&gt;2021&lt;/Year&gt;&lt;RecNum&gt;944&lt;/RecNum&gt;&lt;DisplayText&gt;(Ball &amp;amp; Mankiw, 2021)&lt;/DisplayText&gt;&lt;record&gt;&lt;rec-number&gt;944&lt;/rec-number&gt;&lt;foreign-keys&gt;&lt;key app="EN" db-id="dfw50pzpwrep2aeerx4v2xdyaa5vzeftr0xv" timestamp="1674197547"&gt;944&lt;/key&gt;&lt;/foreign-keys&gt;&lt;ref-type name="Report"&gt;27&lt;/ref-type&gt;&lt;contributors&gt;&lt;authors&gt;&lt;author&gt;Ball, Laurence M.&lt;/author&gt;&lt;author&gt;Mankiw, N. Gregory&lt;/author&gt;&lt;/authors&gt;&lt;/contributors&gt;&lt;titles&gt;&lt;title&gt;Market power in neoclassical growth models&lt;/title&gt;&lt;/titles&gt;&lt;dates&gt;&lt;year&gt;2021&lt;/year&gt;&lt;/dates&gt;&lt;publisher&gt;National Bureau of Economic Research&lt;/publisher&gt;&lt;urls&gt;&lt;/urls&gt;&lt;/record&gt;&lt;/Cite&gt;&lt;/EndNote&gt;</w:instrText>
      </w:r>
      <w:r>
        <w:fldChar w:fldCharType="separate"/>
      </w:r>
      <w:r>
        <w:t>(Ball &amp; Mankiw, 2021)</w:t>
      </w:r>
      <w:r>
        <w:fldChar w:fldCharType="end"/>
      </w:r>
      <w:r>
        <w:rPr>
          <w:rFonts w:hint="eastAsia"/>
        </w:rPr>
        <w:t>。</w:t>
      </w:r>
    </w:p>
    <w:p>
      <w:pPr>
        <w:ind w:firstLine="210" w:firstLineChars="100"/>
      </w:pPr>
      <w:r>
        <w:rPr>
          <w:rFonts w:hint="eastAsia"/>
        </w:rPr>
        <w:t>主流经济理论还有很多研究成果，归纳起来其关于市场经济的基本规律假设或者是亚当•斯密的自由市场经济通过市场看不见手的调节自身能实现最优化发展；或者是阿罗-德布鲁模型中的自由市场经济存在商品交换竞争性均衡，商品生产竞争性均衡和商品消费时间优化路径的一般均衡；或者是索洛的自由市场经济能自身实现劳动力全就业和资本积累完全使用；或者是希克斯关于市场经济存在均衡市场利率，政府支出的最佳点是使市场利率等于均衡利率。前三者被称为新古典学派，第四个被称为凯恩斯学派。</w:t>
      </w:r>
    </w:p>
    <w:p>
      <w:pPr>
        <w:pStyle w:val="4"/>
        <w:ind w:firstLine="420"/>
      </w:pPr>
      <w:r>
        <w:rPr>
          <w:rFonts w:hint="eastAsia"/>
        </w:rPr>
        <w:t>（四）主流经济理论中假设性</w:t>
      </w:r>
      <w:r>
        <w:rPr>
          <w:rFonts w:hint="eastAsia"/>
          <w:lang w:val="en-US" w:eastAsia="zh-CN"/>
        </w:rPr>
        <w:t>过</w:t>
      </w:r>
      <w:r>
        <w:rPr>
          <w:rFonts w:hint="eastAsia"/>
        </w:rPr>
        <w:t>强的基本规律假设</w:t>
      </w:r>
    </w:p>
    <w:p>
      <w:r>
        <w:rPr>
          <w:rFonts w:hint="eastAsia"/>
        </w:rPr>
        <w:t>经济理论是人们为研究经济活动规律而主观构建的关于经济活动规律的逻辑体系，其关于市场经济的基本规律假设是经济理论的逻辑前提。不同的经济学家提出不同的关于经济活动的基本规律假设，形成不同的经济理论学派。任何关于经济活动的基本规律假设都是经济学家主观构建的，是数学抽象意义上的理想假设，与市场经济现实必然存在一定的差异。但如果经济现实与基本规律假设的差异太大，则认为其假设性</w:t>
      </w:r>
      <w:r>
        <w:rPr>
          <w:rFonts w:hint="eastAsia"/>
          <w:lang w:val="en-US" w:eastAsia="zh-CN"/>
        </w:rPr>
        <w:t>过</w:t>
      </w:r>
      <w:r>
        <w:rPr>
          <w:rFonts w:hint="eastAsia"/>
        </w:rPr>
        <w:t>强，主流经济理论若干基本规律假设存在这种情况，下面具体讨论。</w:t>
      </w:r>
    </w:p>
    <w:p>
      <w:pPr>
        <w:pStyle w:val="31"/>
        <w:numPr>
          <w:ilvl w:val="0"/>
          <w:numId w:val="3"/>
        </w:numPr>
        <w:ind w:firstLineChars="0"/>
      </w:pPr>
      <w:r>
        <w:t>非投资品商品交换存在优化竞争性均衡</w:t>
      </w:r>
    </w:p>
    <w:p>
      <w:r>
        <w:rPr>
          <w:rFonts w:hint="eastAsia"/>
        </w:rPr>
        <w:t>本文定义被交换的次数为有限</w:t>
      </w:r>
      <w:r>
        <w:t>次</w:t>
      </w:r>
      <w:r>
        <w:rPr>
          <w:rFonts w:hint="eastAsia"/>
        </w:rPr>
        <w:t>的商品为</w:t>
      </w:r>
      <w:r>
        <w:t>非投资品商品</w:t>
      </w:r>
      <w:r>
        <w:rPr>
          <w:rFonts w:hint="eastAsia"/>
        </w:rPr>
        <w:t>，</w:t>
      </w:r>
      <w:r>
        <w:t>被交换的次数为无限次的商品为投资品</w:t>
      </w:r>
      <w:r>
        <w:rPr>
          <w:rFonts w:hint="eastAsia"/>
        </w:rPr>
        <w:t>商品</w:t>
      </w:r>
      <w:r>
        <w:t>。</w:t>
      </w:r>
      <w:r>
        <w:rPr>
          <w:rFonts w:hint="eastAsia"/>
        </w:rPr>
        <w:t>用数学形式表达为：</w:t>
      </w:r>
      <w:r>
        <w:rPr>
          <w:rFonts w:ascii="Cambria Math" w:hAnsi="Cambria Math" w:cs="Cambria Math"/>
          <w:szCs w:val="21"/>
        </w:rPr>
        <w:t>非</w:t>
      </w:r>
      <w:r>
        <w:rPr>
          <w:rFonts w:hint="eastAsia" w:ascii="Cambria Math" w:hAnsi="Cambria Math" w:cs="Cambria Math"/>
          <w:szCs w:val="21"/>
        </w:rPr>
        <w:t>投资品商品</w:t>
      </w:r>
      <m:oMath>
        <m:r>
          <m:rPr>
            <m:sty m:val="p"/>
          </m:rPr>
          <w:rPr>
            <w:rFonts w:ascii="Cambria Math" w:hAnsi="Cambria Math"/>
          </w:rPr>
          <m:t>∪</m:t>
        </m:r>
      </m:oMath>
      <w:r>
        <w:t>投资品商品=商品</w:t>
      </w:r>
      <w:r>
        <w:rPr>
          <w:rFonts w:hint="eastAsia"/>
        </w:rPr>
        <w:t>，</w:t>
      </w:r>
      <w:r>
        <w:t>非投资品商品</w:t>
      </w:r>
      <m:oMath>
        <m:r>
          <m:rPr>
            <m:sty m:val="p"/>
          </m:rPr>
          <w:rPr>
            <w:rFonts w:ascii="Cambria Math" w:hAnsi="Cambria Math"/>
          </w:rPr>
          <m:t>∩</m:t>
        </m:r>
      </m:oMath>
      <w:r>
        <w:t>投资品商品=0</w:t>
      </w:r>
      <w:r>
        <w:rPr>
          <w:rFonts w:hint="eastAsia"/>
        </w:rPr>
        <w:t>。</w:t>
      </w:r>
    </w:p>
    <w:p>
      <w:pPr>
        <w:rPr>
          <w:rFonts w:asciiTheme="minorEastAsia" w:hAnsiTheme="minorEastAsia" w:eastAsiaTheme="minorEastAsia" w:cstheme="minorEastAsia"/>
        </w:rPr>
      </w:pPr>
      <w:r>
        <w:rPr>
          <w:rFonts w:hint="eastAsia"/>
        </w:rPr>
        <w:t>阿罗-德布鲁模型关于商品交换</w:t>
      </w:r>
      <w:r>
        <w:rPr>
          <w:rFonts w:hint="eastAsia" w:asciiTheme="minorEastAsia" w:hAnsiTheme="minorEastAsia" w:eastAsiaTheme="minorEastAsia" w:cstheme="minorEastAsia"/>
        </w:rPr>
        <w:t>存在优化竞争性均衡的前提条件</w:t>
      </w:r>
      <w:r>
        <w:rPr>
          <w:rFonts w:asciiTheme="minorEastAsia" w:hAnsiTheme="minorEastAsia" w:eastAsiaTheme="minorEastAsia" w:cstheme="minorEastAsia"/>
        </w:rPr>
        <w:t>是被</w:t>
      </w:r>
      <w:r>
        <w:rPr>
          <w:rFonts w:hint="eastAsia"/>
        </w:rPr>
        <w:t>交换的商品数量是有限的并且任一商品被交换的次数也是有限的</w:t>
      </w:r>
      <w:r>
        <w:t>，上述定义的</w:t>
      </w:r>
      <w:r>
        <w:rPr>
          <w:rFonts w:hint="eastAsia"/>
        </w:rPr>
        <w:t>非投资品</w:t>
      </w:r>
      <w:r>
        <w:t>商品</w:t>
      </w:r>
      <w:r>
        <w:rPr>
          <w:rFonts w:hint="eastAsia"/>
        </w:rPr>
        <w:t>交换</w:t>
      </w:r>
      <w:r>
        <w:t>符合这个条件</w:t>
      </w:r>
      <w:r>
        <w:rPr>
          <w:rFonts w:hint="eastAsia"/>
        </w:rPr>
        <w:t>，</w:t>
      </w:r>
      <w:r>
        <w:rPr>
          <w:rFonts w:hint="eastAsia" w:asciiTheme="minorEastAsia" w:hAnsiTheme="minorEastAsia" w:eastAsiaTheme="minorEastAsia" w:cstheme="minorEastAsia"/>
        </w:rPr>
        <w:t>因此可以认为非投资品商品交换存在优化竞争性均衡。</w:t>
      </w:r>
    </w:p>
    <w:p>
      <w:pPr>
        <w:pStyle w:val="31"/>
        <w:numPr>
          <w:ilvl w:val="0"/>
          <w:numId w:val="3"/>
        </w:numPr>
        <w:ind w:firstLineChars="0"/>
      </w:pPr>
      <w:r>
        <w:t>汇率等投资品</w:t>
      </w:r>
      <w:r>
        <w:rPr>
          <w:rFonts w:hint="eastAsia"/>
        </w:rPr>
        <w:t>商品交换</w:t>
      </w:r>
      <w:r>
        <w:t>存在竞争性均衡</w:t>
      </w:r>
      <w:r>
        <w:rPr>
          <w:rFonts w:hint="eastAsia"/>
          <w:lang w:val="en-US" w:eastAsia="zh-CN"/>
        </w:rPr>
        <w:t>的假设过强</w:t>
      </w:r>
    </w:p>
    <w:p>
      <w:r>
        <w:rPr>
          <w:rFonts w:hint="eastAsia"/>
        </w:rPr>
        <w:t>阿罗-德布鲁模型</w:t>
      </w:r>
      <w:r>
        <w:rPr>
          <w:szCs w:val="21"/>
        </w:rPr>
        <w:t>关于</w:t>
      </w:r>
      <w:r>
        <w:rPr>
          <w:rFonts w:hint="eastAsia"/>
        </w:rPr>
        <w:t>商品交换存在竞争性</w:t>
      </w:r>
      <w:r>
        <w:rPr>
          <w:rFonts w:hint="eastAsia"/>
          <w:lang w:val="en-US" w:eastAsia="zh-CN"/>
        </w:rPr>
        <w:t>均衡</w:t>
      </w:r>
      <w:r>
        <w:rPr>
          <w:rFonts w:hint="eastAsia"/>
        </w:rPr>
        <w:t>的前提条件是被交换的商品数量是有限的并且任一商品被交换的次数也是有限的，</w:t>
      </w:r>
      <w:r>
        <w:t>上述定义的投资品</w:t>
      </w:r>
      <w:r>
        <w:rPr>
          <w:rFonts w:hint="eastAsia"/>
        </w:rPr>
        <w:t>商品</w:t>
      </w:r>
      <w:r>
        <w:t>不满足这个条件，因为投资品被交换的次数是无限的</w:t>
      </w:r>
      <w:r>
        <w:rPr>
          <w:rFonts w:hint="eastAsia"/>
        </w:rPr>
        <w:t>。投资品商品交换不存在竞争性均衡的更详细阐述见附录</w:t>
      </w:r>
      <w:r>
        <w:rPr>
          <w:rFonts w:hint="default"/>
        </w:rPr>
        <w:t>1</w:t>
      </w:r>
      <w:r>
        <w:rPr>
          <w:rFonts w:hint="eastAsia"/>
        </w:rPr>
        <w:t>.</w:t>
      </w:r>
    </w:p>
    <w:p>
      <w:r>
        <w:rPr>
          <w:rFonts w:hint="eastAsia"/>
        </w:rPr>
        <w:t>因为投资品商品交换不存在竞争性均衡</w:t>
      </w:r>
      <w:r>
        <w:t>，</w:t>
      </w:r>
      <w:r>
        <w:rPr>
          <w:rFonts w:hint="eastAsia"/>
        </w:rPr>
        <w:t>因此</w:t>
      </w:r>
      <w:r>
        <w:rPr>
          <w:rFonts w:hint="eastAsia"/>
          <w:lang w:val="en-US" w:eastAsia="zh-CN"/>
        </w:rPr>
        <w:t>本文</w:t>
      </w:r>
      <w:r>
        <w:rPr>
          <w:rFonts w:hint="eastAsia"/>
        </w:rPr>
        <w:t>认为</w:t>
      </w:r>
      <w:r>
        <w:t>阿罗</w:t>
      </w:r>
      <w:r>
        <w:rPr>
          <w:rFonts w:hint="eastAsia"/>
          <w:lang w:val="en-US" w:eastAsia="zh-CN"/>
        </w:rPr>
        <w:t>-</w:t>
      </w:r>
      <w:r>
        <w:t>德布鲁关于投资品商品交换存在竞争性均衡的</w:t>
      </w:r>
      <w:r>
        <w:rPr>
          <w:rFonts w:hint="eastAsia"/>
        </w:rPr>
        <w:t>假设</w:t>
      </w:r>
      <w:r>
        <w:rPr>
          <w:rFonts w:hint="eastAsia"/>
          <w:lang w:val="en-US" w:eastAsia="zh-CN"/>
        </w:rPr>
        <w:t>过</w:t>
      </w:r>
      <w:r>
        <w:t>强</w:t>
      </w:r>
      <w:r>
        <w:rPr>
          <w:rFonts w:hint="eastAsia"/>
        </w:rPr>
        <w:t>。</w:t>
      </w:r>
    </w:p>
    <w:p>
      <w:pPr>
        <w:pStyle w:val="31"/>
        <w:numPr>
          <w:ilvl w:val="0"/>
          <w:numId w:val="3"/>
        </w:numPr>
        <w:ind w:firstLineChars="0"/>
      </w:pPr>
      <w:r>
        <w:rPr>
          <w:rFonts w:hint="eastAsia"/>
        </w:rPr>
        <w:t>商品生产存在</w:t>
      </w:r>
      <w:r>
        <w:rPr>
          <w:rFonts w:hint="eastAsia"/>
          <w:lang w:val="en-US" w:eastAsia="zh-CN"/>
        </w:rPr>
        <w:t>优化</w:t>
      </w:r>
      <w:r>
        <w:rPr>
          <w:rFonts w:hint="eastAsia"/>
        </w:rPr>
        <w:t>竞争性均衡</w:t>
      </w:r>
      <w:r>
        <w:rPr>
          <w:rFonts w:hint="eastAsia"/>
          <w:lang w:val="en-US" w:eastAsia="zh-CN"/>
        </w:rPr>
        <w:t>假设过强</w:t>
      </w:r>
    </w:p>
    <w:p>
      <w:r>
        <w:rPr>
          <w:rFonts w:hint="eastAsia"/>
        </w:rPr>
        <w:t>关于商品生产是否存在优化存在竞争性均衡，附录2做了具体阐述。根据附录2，商品生产不存在优化竞争性均衡，因此本文认为阿罗-德布鲁关于商品生产存在</w:t>
      </w:r>
      <w:r>
        <w:rPr>
          <w:rFonts w:hint="eastAsia"/>
          <w:lang w:val="en-US" w:eastAsia="zh-CN"/>
        </w:rPr>
        <w:t>优化</w:t>
      </w:r>
      <w:r>
        <w:rPr>
          <w:rFonts w:hint="eastAsia"/>
        </w:rPr>
        <w:t>竞争性均衡的假设</w:t>
      </w:r>
      <w:r>
        <w:rPr>
          <w:rFonts w:hint="eastAsia"/>
          <w:lang w:val="en-US" w:eastAsia="zh-CN"/>
        </w:rPr>
        <w:t>过</w:t>
      </w:r>
      <w:r>
        <w:rPr>
          <w:rFonts w:hint="eastAsia"/>
        </w:rPr>
        <w:t>强。</w:t>
      </w:r>
    </w:p>
    <w:p>
      <w:pPr>
        <w:pStyle w:val="31"/>
        <w:numPr>
          <w:ilvl w:val="0"/>
          <w:numId w:val="3"/>
        </w:numPr>
        <w:ind w:firstLineChars="0"/>
      </w:pPr>
      <w:r>
        <w:rPr>
          <w:rFonts w:hint="eastAsia"/>
        </w:rPr>
        <w:t>市场经济均衡能实现社会劳动力全就业和社会产能全利用</w:t>
      </w:r>
      <w:r>
        <w:rPr>
          <w:rFonts w:hint="eastAsia"/>
          <w:lang w:val="en-US" w:eastAsia="zh-CN"/>
        </w:rPr>
        <w:t>的假设过强</w:t>
      </w:r>
    </w:p>
    <w:p>
      <w:pPr>
        <w:ind w:firstLineChars="0"/>
      </w:pPr>
      <w:r>
        <w:rPr>
          <w:rFonts w:hint="eastAsia"/>
        </w:rPr>
        <w:t>索洛经济增长模型认为经济活动短期不能实现竞争性均衡，但经济活动在竞争均衡稳定点震荡一段时间后中长期将实现竞争性均衡，即中长期自由市场经济能实现劳动力全就业和社会产能全利用。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rPr>
        <w:t>。这意味着索洛关于自由市场经济</w:t>
      </w:r>
      <w:r>
        <w:rPr>
          <w:rFonts w:hint="eastAsia"/>
          <w:lang w:val="en-US" w:eastAsia="zh-CN"/>
        </w:rPr>
        <w:t>中长期</w:t>
      </w:r>
      <w:r>
        <w:rPr>
          <w:rFonts w:hint="eastAsia"/>
        </w:rPr>
        <w:t>能实现劳动力全就业和社会</w:t>
      </w:r>
      <w:r>
        <w:rPr>
          <w:rFonts w:hint="eastAsia"/>
          <w:lang w:val="en-US" w:eastAsia="zh-CN"/>
        </w:rPr>
        <w:t>资本</w:t>
      </w:r>
      <w:r>
        <w:rPr>
          <w:rFonts w:hint="eastAsia"/>
        </w:rPr>
        <w:t>全利用的</w:t>
      </w:r>
      <w:r>
        <w:rPr>
          <w:rFonts w:hint="eastAsia"/>
          <w:lang w:val="en-US" w:eastAsia="zh-CN"/>
        </w:rPr>
        <w:t>假设过</w:t>
      </w:r>
      <w:r>
        <w:rPr>
          <w:rFonts w:hint="eastAsia"/>
        </w:rPr>
        <w:t>强。</w:t>
      </w:r>
    </w:p>
    <w:p>
      <w:pPr>
        <w:pStyle w:val="31"/>
        <w:numPr>
          <w:ilvl w:val="0"/>
          <w:numId w:val="3"/>
        </w:numPr>
        <w:ind w:firstLineChars="0"/>
      </w:pPr>
      <w:r>
        <w:rPr>
          <w:rFonts w:hint="eastAsia"/>
        </w:rPr>
        <w:t>市场经济存在均衡市场利率</w:t>
      </w:r>
      <w:r>
        <w:rPr>
          <w:rFonts w:hint="eastAsia"/>
          <w:lang w:val="en-US" w:eastAsia="zh-CN"/>
        </w:rPr>
        <w:t>的假设过强</w:t>
      </w:r>
    </w:p>
    <w:p>
      <w:pPr>
        <w:ind w:firstLineChars="0"/>
      </w:pPr>
      <w:r>
        <w:rPr>
          <w:rFonts w:hint="eastAsia"/>
          <w:lang w:val="en-US" w:eastAsia="zh-CN"/>
        </w:rPr>
        <w:t>由于</w:t>
      </w:r>
      <w:r>
        <w:rPr>
          <w:rFonts w:hint="eastAsia"/>
        </w:rPr>
        <w:t>英国1921年至1939年长达19年的时间失业率维持在10%以上，</w:t>
      </w:r>
      <w:r>
        <w:rPr>
          <w:rFonts w:hint="eastAsia"/>
          <w:lang w:val="en-US" w:eastAsia="zh-CN"/>
        </w:rPr>
        <w:t>英国市场经济这期间一直处于非优化均衡状态，因此</w:t>
      </w:r>
      <w:r>
        <w:rPr>
          <w:rFonts w:hint="eastAsia"/>
        </w:rPr>
        <w:t>本文认为希克斯关于市场经济存在均衡市场利率的假设</w:t>
      </w:r>
      <w:r>
        <w:rPr>
          <w:rFonts w:hint="eastAsia"/>
          <w:lang w:val="en-US" w:eastAsia="zh-CN"/>
        </w:rPr>
        <w:t>过</w:t>
      </w:r>
      <w:r>
        <w:rPr>
          <w:rFonts w:hint="eastAsia"/>
        </w:rPr>
        <w:t>强。</w:t>
      </w:r>
    </w:p>
    <w:p>
      <w:pPr>
        <w:pStyle w:val="4"/>
        <w:ind w:firstLine="420"/>
      </w:pPr>
      <w:r>
        <w:rPr>
          <w:rFonts w:hint="eastAsia"/>
        </w:rPr>
        <w:t>（五）主流经济理论</w:t>
      </w:r>
      <w:r>
        <w:t>方法论的缺陷</w:t>
      </w:r>
    </w:p>
    <w:p>
      <w:r>
        <w:rPr>
          <w:rFonts w:hint="eastAsia"/>
        </w:rPr>
        <w:t>前</w:t>
      </w:r>
      <w:r>
        <w:rPr>
          <w:rFonts w:hint="eastAsia"/>
          <w:lang w:val="en-US" w:eastAsia="zh-CN"/>
        </w:rPr>
        <w:t>文</w:t>
      </w:r>
      <w:r>
        <w:rPr>
          <w:rFonts w:hint="eastAsia"/>
        </w:rPr>
        <w:t>已讨论，新古典学派和凯恩斯学派关于市场经济的基本规律假设</w:t>
      </w:r>
      <w:r>
        <w:rPr>
          <w:rFonts w:hint="eastAsia"/>
          <w:lang w:val="en-US" w:eastAsia="zh-CN"/>
        </w:rPr>
        <w:t>过</w:t>
      </w:r>
      <w:r>
        <w:rPr>
          <w:rFonts w:hint="eastAsia"/>
        </w:rPr>
        <w:t>强</w:t>
      </w:r>
      <w:r>
        <w:rPr>
          <w:rFonts w:hint="eastAsia"/>
          <w:lang w:eastAsia="zh-CN"/>
        </w:rPr>
        <w:t>。</w:t>
      </w:r>
      <w:r>
        <w:rPr>
          <w:rFonts w:hint="eastAsia"/>
        </w:rPr>
        <w:t>为何这两个学派对</w:t>
      </w:r>
      <w:r>
        <w:t>现实</w:t>
      </w:r>
      <w:r>
        <w:rPr>
          <w:rFonts w:hint="eastAsia"/>
        </w:rPr>
        <w:t>经济</w:t>
      </w:r>
      <w:r>
        <w:t>活动仍</w:t>
      </w:r>
      <w:r>
        <w:rPr>
          <w:rFonts w:hint="eastAsia"/>
        </w:rPr>
        <w:t>有相当的预测和解释能力，并且一直被全球主流经济学家所追捧？这</w:t>
      </w:r>
      <w:r>
        <w:t>是因为</w:t>
      </w:r>
      <w:r>
        <w:rPr>
          <w:rFonts w:hint="eastAsia"/>
        </w:rPr>
        <w:t>计量经济学</w:t>
      </w:r>
      <w:r>
        <w:t>的先进性可以弥补其</w:t>
      </w:r>
      <w:r>
        <w:rPr>
          <w:rFonts w:hint="eastAsia"/>
        </w:rPr>
        <w:t>基本规律</w:t>
      </w:r>
      <w:r>
        <w:t>假设</w:t>
      </w:r>
      <w:r>
        <w:rPr>
          <w:rFonts w:hint="eastAsia"/>
          <w:lang w:val="en-US" w:eastAsia="zh-CN"/>
        </w:rPr>
        <w:t>过</w:t>
      </w:r>
      <w:r>
        <w:t>强的不足。</w:t>
      </w:r>
    </w:p>
    <w:p>
      <w:r>
        <w:rPr>
          <w:rFonts w:hint="eastAsia"/>
        </w:rPr>
        <w:t>计量经济学也称实证经济学，通过经济数据归纳总结经济变量之间的统计规律，而不是通过逻辑演绎推演经济变量之间的因果关系。属于实证经济学的计量经济学本质上是一种数学变换，把反映各经济变量之间复杂逻辑关系的函数F</w:t>
      </w:r>
      <w:r>
        <w:t>(X)</w:t>
      </w:r>
      <w:r>
        <w:rPr>
          <w:rFonts w:hint="eastAsia"/>
        </w:rPr>
        <w:t>转换成各经济变量的序列统计函数，如公式（2-1）所示。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w:t>
            </w:r>
            <m:oMath>
              <m:r>
                <m:rPr>
                  <m:sty m:val="p"/>
                </m:rPr>
                <w:rPr>
                  <w:rFonts w:hint="eastAsia" w:ascii="Cambria Math" w:hAnsi="Cambria Math"/>
                </w:rPr>
                <m:t>F(</m:t>
              </m:r>
              <m:sSub>
                <m:sSubPr>
                  <m:ctrlPr>
                    <w:rPr>
                      <w:rFonts w:hint="eastAsia" w:ascii="Cambria Math" w:hAnsi="Cambria Math"/>
                    </w:rPr>
                  </m:ctrlPr>
                </m:sSubPr>
                <m:e>
                  <m:r>
                    <m:rPr>
                      <m:sty m:val="p"/>
                    </m:rPr>
                    <w:rPr>
                      <w:rFonts w:ascii="Cambria Math" w:hAnsi="Cambria Math"/>
                    </w:rPr>
                    <m:t>X</m:t>
                  </m:r>
                  <m:ctrlPr>
                    <w:rPr>
                      <w:rFonts w:hint="eastAsia" w:ascii="Cambria Math" w:hAnsi="Cambria Math"/>
                    </w:rPr>
                  </m:ctrlPr>
                </m:e>
                <m:sub>
                  <m:r>
                    <m:rPr>
                      <m:sty m:val="p"/>
                    </m:rPr>
                    <w:rPr>
                      <w:rFonts w:ascii="Cambria Math" w:hAnsi="Cambria Math"/>
                    </w:rPr>
                    <m:t>t</m:t>
                  </m:r>
                  <m:ctrlPr>
                    <w:rPr>
                      <w:rFonts w:hint="eastAsia" w:ascii="Cambria Math" w:hAnsi="Cambria Math"/>
                    </w:rPr>
                  </m:ctrlPr>
                </m:sub>
              </m:sSub>
              <m:r>
                <m:rPr>
                  <m:sty m:val="p"/>
                </m:rPr>
                <w:rPr>
                  <w:rFonts w:hint="eastAsia" w:ascii="Cambria Math" w:hAnsi="Cambria Math"/>
                </w:rPr>
                <m:t>)</m:t>
              </m:r>
            </m:oMath>
            <w:r>
              <w:rPr>
                <w:rFonts w:hint="eastAsia"/>
              </w:rPr>
              <w:t>=</w:t>
            </w:r>
            <m:oMath>
              <m:sSup>
                <m:sSupPr>
                  <m:ctrlPr>
                    <w:rPr>
                      <w:rFonts w:hint="eastAsia" w:ascii="Cambria Math" w:hAnsi="Cambria Math"/>
                      <w:i/>
                    </w:rPr>
                  </m:ctrlPr>
                </m:sSupPr>
                <m:e>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ctrlPr>
                    <w:rPr>
                      <w:rFonts w:hint="eastAsia" w:ascii="Cambria Math" w:hAnsi="Cambria Math"/>
                      <w:i/>
                    </w:rPr>
                  </m:ctrlPr>
                </m:e>
                <m:sup>
                  <m:r>
                    <m:rPr/>
                    <w:rPr>
                      <w:rFonts w:hint="eastAsia" w:ascii="Cambria Math" w:hAnsi="Cambria Math"/>
                    </w:rPr>
                    <m:t>'</m:t>
                  </m:r>
                  <m:ctrlPr>
                    <w:rPr>
                      <w:rFonts w:hint="eastAsia" w:ascii="Cambria Math" w:hAnsi="Cambria Math"/>
                      <w:i/>
                    </w:rPr>
                  </m:ctrlPr>
                </m:sup>
              </m:sSup>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 xml:space="preserve">    t=1,2,...,n    </w:t>
            </w:r>
          </w:p>
        </w:tc>
        <w:tc>
          <w:tcPr>
            <w:tcW w:w="930" w:type="dxa"/>
            <w:vAlign w:val="center"/>
          </w:tcPr>
          <w:p>
            <w:pPr>
              <w:ind w:firstLine="0" w:firstLineChars="0"/>
              <w:jc w:val="right"/>
            </w:pPr>
            <w:r>
              <w:rPr>
                <w:rFonts w:hint="eastAsia"/>
              </w:rPr>
              <w:t>(2-1)</w:t>
            </w:r>
          </w:p>
        </w:tc>
      </w:tr>
    </w:tbl>
    <w:p>
      <w:r>
        <w:rPr>
          <w:rFonts w:hint="eastAsia"/>
        </w:rPr>
        <w:t>式中</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是因变量，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是由经济解释变量及其非线性变换所构成的K-维自变量向量，</w:t>
      </w:r>
      <m:oMath>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是K-维未知参数向量，</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是不可观测的扰动项，代表除了自变量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之外所有其它因素对</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的总效应，n是样本容量。</w:t>
      </w:r>
    </w:p>
    <w:p>
      <w:r>
        <w:rPr>
          <w:rFonts w:hint="eastAsia"/>
        </w:rPr>
        <w:t>理论上讲，任何一个收敛的</w:t>
      </w:r>
      <w:r>
        <w:t>反映各经济变量复杂逻辑关系的</w:t>
      </w:r>
      <w:r>
        <w:rPr>
          <w:rFonts w:hint="eastAsia"/>
        </w:rPr>
        <w:t>函数F</w:t>
      </w:r>
      <w:r>
        <w:t>(X)都可以转换成各经济变量的时间序列的统计函数。这样，通过计量经济学的统计函数就可以撇开经济变量之间的逻辑关系把各经济变量之间的统计数据关系计算出来，成为解释经济现象和制定经济政策的依据。</w:t>
      </w:r>
    </w:p>
    <w:p>
      <w:r>
        <w:rPr>
          <w:rFonts w:hint="eastAsia"/>
        </w:rPr>
        <w:t>计量经济学已经发展得很成熟，从正态分布到非正态分布假设，从条件同方差与零自相关到条件异方差与自相关，从线性模型到非线性模型，从外生性到内生性，从模型正确设定到模型误设，从平稳性到非平稳性，从传统数据到大数据</w:t>
      </w:r>
      <w:r>
        <w:fldChar w:fldCharType="begin"/>
      </w:r>
      <w:r>
        <w:rPr>
          <w:rFonts w:hint="eastAsia"/>
        </w:rPr>
        <w:instrText xml:space="preserve"> ADDIN EN.CITE &lt;EndNote&gt;&lt;Cite&gt;&lt;Author&gt;洪永淼&lt;/Author&gt;&lt;Year&gt;2021&lt;/Year&gt;&lt;RecNum&gt;961&lt;/RecNum&gt;&lt;DisplayText&gt;(洪永淼, 2021)&lt;/DisplayText&gt;&lt;record&gt;&lt;rec-number&gt;961&lt;/rec-number&gt;&lt;foreign-keys&gt;&lt;key app="EN" db-id="dfw50pzpwrep2aeerx4v2xdyaa5vzeftr0xv" timestamp="1674198305"&gt;961&lt;/key&gt;&lt;/foreign-keys&gt;&lt;ref-type name="Journal Article"&gt;17&lt;/ref-type&gt;&lt;contributors&gt;&lt;authors&gt;&lt;author&gt;&lt;style face="normal" font="default" charset="134" size="100%"&gt;洪永淼&lt;/style&gt;&lt;/author&gt;&lt;/authors&gt;&lt;/contributors&gt;&lt;titles&gt;&lt;title&gt;&lt;style face="normal" font="default" charset="134" size="100%"&gt;理解现代计量经济学&lt;/style&gt;&lt;/title&gt;&lt;secondary-title&gt;&lt;style face="normal" font="default" charset="134" size="100%"&gt;计量经济学报&lt;/style&gt;&lt;/secondary-title&gt;&lt;/titles&gt;&lt;periodical&gt;&lt;full-title&gt;计量经济学报&lt;/full-title&gt;&lt;/periodical&gt;&lt;pages&gt;266-284&lt;/pages&gt;&lt;volume&gt;1&lt;/volume&gt;&lt;number&gt;02&lt;/number&gt;&lt;keywords&gt;&lt;keyword&gt;非实验性&lt;/keyword&gt;&lt;keyword&gt;线性回归模型&lt;/keyword&gt;&lt;keyword&gt;非线性模型&lt;/keyword&gt;&lt;keyword&gt;模型设定&lt;/keyword&gt;&lt;keyword&gt;正态分布&lt;/keyword&gt;&lt;keyword&gt;条件异方差&lt;/keyword&gt;&lt;keyword&gt;内生性&lt;/keyword&gt;&lt;keyword&gt;工具变量&lt;/keyword&gt;&lt;keyword&gt;广义矩估计&lt;/keyword&gt;&lt;keyword&gt;平稳性&lt;/keyword&gt;&lt;keyword&gt;结构变化&lt;/keyword&gt;&lt;keyword&gt;模型不确定性&lt;/keyword&gt;&lt;keyword&gt;大数据&lt;/keyword&gt;&lt;keyword&gt;高维数据&lt;/keyword&gt;&lt;keyword&gt;机器学习&lt;/keyword&gt;&lt;keyword&gt;预测&lt;/keyword&gt;&lt;keyword&gt;因果关系&lt;/keyword&gt;&lt;keyword&gt;政策评估&lt;/keyword&gt;&lt;/keywords&gt;&lt;dates&gt;&lt;year&gt;2021&lt;/year&gt;&lt;/dates&gt;&lt;url</w:instrText>
      </w:r>
      <w:r>
        <w:instrText xml:space="preserve">s&gt;&lt;/urls&gt;&lt;/record&gt;&lt;/Cite&gt;&lt;/EndNote&gt;</w:instrText>
      </w:r>
      <w:r>
        <w:fldChar w:fldCharType="separate"/>
      </w:r>
      <w:r>
        <w:rPr>
          <w:rFonts w:hint="eastAsia"/>
        </w:rPr>
        <w:t>(洪永淼, 2021)</w:t>
      </w:r>
      <w:r>
        <w:fldChar w:fldCharType="end"/>
      </w:r>
      <w:r>
        <w:rPr>
          <w:rFonts w:hint="eastAsia"/>
        </w:rPr>
        <w:t>。总之，通过复杂却又严谨的数据处理科学，计量经济学可以脱离经济变量之间的逻辑关系而把其数据之间的统计关系找出来。</w:t>
      </w:r>
    </w:p>
    <w:p>
      <w:r>
        <w:t>动态随机一般均衡计量经济学数学模型（DSGE）是应用最广的计量经济学模型之一，它通过假设技术进步和货币等变量</w:t>
      </w:r>
      <w:r>
        <w:rPr>
          <w:rFonts w:hint="eastAsia"/>
        </w:rPr>
        <w:t>等</w:t>
      </w:r>
      <w:r>
        <w:t>为随机变量，能很好地揭示各经济变量之间的统计关系</w:t>
      </w:r>
      <w:r>
        <w:fldChar w:fldCharType="begin"/>
      </w:r>
      <w:r>
        <w:instrText xml:space="preserve"> ADDIN EN.CITE &lt;EndNote&gt;&lt;Cite&gt;&lt;Author&gt;Fernández-Villaverde&lt;/Author&gt;&lt;Year&gt;2010&lt;/Year&gt;&lt;RecNum&gt;949&lt;/RecNum&gt;&lt;DisplayText&gt;(Fernández-Villaverde, 2010)&lt;/DisplayText&gt;&lt;record&gt;&lt;rec-number&gt;949&lt;/rec-number&gt;&lt;foreign-keys&gt;&lt;key app="EN" db-id="dfw50pzpwrep2aeerx4v2xdyaa5vzeftr0xv" timestamp="1674197889"&gt;949&lt;/key&gt;&lt;/foreign-keys&gt;&lt;ref-type name="Journal Article"&gt;17&lt;/ref-type&gt;&lt;contributors&gt;&lt;authors&gt;&lt;author&gt;Fernández-Villaverde, Jesús&lt;/author&gt;&lt;/authors&gt;&lt;/contributors&gt;&lt;titles&gt;&lt;title&gt;The econometrics of DSGE models&lt;/title&gt;&lt;secondary-title&gt;SERIEs&lt;/secondary-title&gt;&lt;/titles&gt;&lt;periodical&gt;&lt;full-title&gt;SERIEs&lt;/full-title&gt;&lt;/periodical&gt;&lt;pages&gt;3-49&lt;/pages&gt;&lt;volume&gt;1&lt;/volume&gt;&lt;number&gt;1&lt;/number&gt;&lt;dates&gt;&lt;year&gt;2010&lt;/year&gt;&lt;/dates&gt;&lt;publisher&gt;Springer&lt;/publisher&gt;&lt;isbn&gt;1869-4195&lt;/isbn&gt;&lt;urls&gt;&lt;/urls&gt;&lt;/record&gt;&lt;/Cite&gt;&lt;/EndNote&gt;</w:instrText>
      </w:r>
      <w:r>
        <w:fldChar w:fldCharType="separate"/>
      </w:r>
      <w:r>
        <w:t>(Fernández-Villaverde, 2010)</w:t>
      </w:r>
      <w:r>
        <w:fldChar w:fldCharType="end"/>
      </w:r>
      <w:r>
        <w:t>。</w:t>
      </w:r>
    </w:p>
    <w:p>
      <w:r>
        <w:rPr>
          <w:rFonts w:hint="eastAsia"/>
        </w:rPr>
        <w:t>尽管动态随机一般均衡（DSGE）等先进计量经济学模型能有效揭示各经济变量之间的统计规律关系，但无法揭示各经济变量之间的因果关系。比如计量经济学无法揭示政府投资，社会产出，技术进步和社会资本积累等经济变量之间的具体的因果关系。这是主流经济理论不能很好地解释1978年以来中国经济取得巨大成功的重要原因之一。</w:t>
      </w:r>
    </w:p>
    <w:p>
      <w:r>
        <w:rPr>
          <w:rFonts w:hint="eastAsia"/>
          <w:lang w:val="en-US" w:eastAsia="zh-CN"/>
        </w:rPr>
        <w:t>弗</w:t>
      </w:r>
      <w:r>
        <w:rPr>
          <w:rFonts w:hint="eastAsia"/>
        </w:rPr>
        <w:t>里德曼在《</w:t>
      </w:r>
      <w:r>
        <w:rPr>
          <w:rFonts w:hint="eastAsia"/>
          <w:lang w:val="en-US" w:eastAsia="zh-CN"/>
        </w:rPr>
        <w:t>实证经济学文集</w:t>
      </w:r>
      <w:r>
        <w:rPr>
          <w:rFonts w:hint="eastAsia"/>
        </w:rPr>
        <w:t>》中明确说，经济理论假设的构建应该基于灵感，直觉和创新，不要被定理，逻辑三段论和科学方法论所束缚</w:t>
      </w:r>
      <w:r>
        <w:fldChar w:fldCharType="begin"/>
      </w:r>
      <w:r>
        <w:instrText xml:space="preserve"> ADDIN EN.CITE &lt;EndNote&gt;&lt;Cite&gt;&lt;Author&gt;Friedman&lt;/Author&gt;&lt;Year&gt;1953&lt;/Year&gt;&lt;RecNum&gt;950&lt;/RecNum&gt;&lt;DisplayText&gt;(Friedman,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(Friedman, 1953)</w:t>
      </w:r>
      <w:r>
        <w:fldChar w:fldCharType="end"/>
      </w:r>
      <w:r>
        <w:rPr>
          <w:rFonts w:hint="eastAsia"/>
        </w:rPr>
        <w:t>。主流经济理论过度依赖计量经济学而不重视经济理论的基础逻辑，其关于市场经济的基本规律假设</w:t>
      </w:r>
      <w:r>
        <w:rPr>
          <w:rFonts w:hint="eastAsia"/>
          <w:lang w:val="en-US" w:eastAsia="zh-CN"/>
        </w:rPr>
        <w:t>过</w:t>
      </w:r>
      <w:r>
        <w:rPr>
          <w:rFonts w:hint="eastAsia"/>
        </w:rPr>
        <w:t>强一直没得到纠正，这是其方法论的缺陷。</w:t>
      </w:r>
    </w:p>
    <w:p>
      <w:r>
        <w:rPr>
          <w:rFonts w:hint="eastAsia"/>
        </w:rPr>
        <w:t>在对市场经济微观机制的理解</w:t>
      </w:r>
      <w:r>
        <w:rPr>
          <w:rFonts w:hint="eastAsia"/>
          <w:lang w:val="en-US" w:eastAsia="zh-CN"/>
        </w:rPr>
        <w:t>仍</w:t>
      </w:r>
      <w:r>
        <w:rPr>
          <w:rFonts w:hint="eastAsia"/>
        </w:rPr>
        <w:t>处于</w:t>
      </w:r>
      <w:r>
        <w:rPr>
          <w:rFonts w:hint="eastAsia"/>
          <w:lang w:eastAsia="zh-CN"/>
        </w:rPr>
        <w:t>“</w:t>
      </w:r>
      <w:r>
        <w:rPr>
          <w:rFonts w:hint="eastAsia"/>
        </w:rPr>
        <w:t>看不见</w:t>
      </w:r>
      <w:r>
        <w:rPr>
          <w:rFonts w:hint="eastAsia"/>
          <w:lang w:val="en-US" w:eastAsia="zh-CN"/>
        </w:rPr>
        <w:t>的</w:t>
      </w:r>
      <w:r>
        <w:rPr>
          <w:rFonts w:hint="eastAsia"/>
        </w:rPr>
        <w:t>手</w:t>
      </w:r>
      <w:r>
        <w:rPr>
          <w:rFonts w:hint="eastAsia"/>
          <w:lang w:eastAsia="zh-CN"/>
        </w:rPr>
        <w:t>”</w:t>
      </w:r>
      <w:r>
        <w:rPr>
          <w:rFonts w:hint="eastAsia"/>
        </w:rPr>
        <w:t>的黑盒子的阶段，经济理论主要依赖实证经济学有重要的现实意义。但随着市场经济的微观机制规律被不断揭示出来，经济理论方法论应该随之而进步，逻辑演绎和实证并重。</w:t>
      </w:r>
    </w:p>
    <w:p/>
    <w:p>
      <w:pPr>
        <w:pStyle w:val="2"/>
      </w:pPr>
      <w:r>
        <w:rPr>
          <w:rFonts w:hint="eastAsia"/>
        </w:rPr>
        <w:t>三、互相独立的基本规律假设</w:t>
      </w:r>
    </w:p>
    <w:p>
      <w:r>
        <w:rPr>
          <w:rFonts w:hint="eastAsia"/>
        </w:rPr>
        <w:t>在改进优化新古典学派和凯恩斯学派关于市场经济基本规律假设的基础上，本文提出关于市场经济三个互相独立的基本规律假设。</w:t>
      </w:r>
    </w:p>
    <w:p>
      <w:pPr>
        <w:pStyle w:val="4"/>
        <w:ind w:firstLine="420"/>
      </w:pPr>
      <w:r>
        <w:t>（一）基本规律假设一：没有任何第三方强制或限制的自由市场经济，被交换次数为有限的非投资品商品交换存在使交易主体资产效用增加的帕累托优化竞争性均衡。</w:t>
      </w:r>
    </w:p>
    <w:p>
      <w:pPr>
        <w:rPr>
          <w:i/>
        </w:rPr>
      </w:pPr>
      <w:r>
        <w:t>参考</w:t>
      </w:r>
      <w:r>
        <w:fldChar w:fldCharType="begin"/>
      </w:r>
      <w:r>
        <w:instrText xml:space="preserve"> ADDIN EN.CITE &lt;EndNote&gt;&lt;Cite AuthorYear="1"&gt;&lt;Author&gt;Zhukovskiy&lt;/Author&gt;&lt;Year&gt;2016&lt;/Year&gt;&lt;RecNum&gt;960&lt;/RecNum&gt;&lt;DisplayText&gt;Zhukovskiy &amp;amp; Kudryavtsev (2016)&lt;/DisplayText&gt;&lt;record&gt;&lt;rec-number&gt;960&lt;/rec-number&gt;&lt;foreign-keys&gt;&lt;key app="EN" db-id="dfw50pzpwrep2aeerx4v2xdyaa5vzeftr0xv" timestamp="1674198168"&gt;960&lt;/key&gt;&lt;/foreign-keys&gt;&lt;ref-type name="Journal Article"&gt;17&lt;/ref-type&gt;&lt;contributors&gt;&lt;authors&gt;&lt;author&gt;Zhukovskiy, Vladislav I.&lt;/author&gt;&lt;author&gt;Kudryavtsev, Konstantin N.&lt;/author&gt;&lt;/authors&gt;&lt;/contributors&gt;&lt;titles&gt;&lt;title&gt;Pareto-optimal Nash equilibrium: Sufficient conditions and existence in mixed strategies&lt;/title&gt;&lt;secondary-title&gt;Automation and Remote Control&lt;/secondary-title&gt;&lt;/titles&gt;&lt;periodical&gt;&lt;full-title&gt;Automation and Remote Control&lt;/full-title&gt;&lt;/periodical&gt;&lt;pages&gt;1500-1510&lt;/pages&gt;&lt;volume&gt;77&lt;/volume&gt;&lt;number&gt;8&lt;/number&gt;&lt;dates&gt;&lt;year&gt;2016&lt;/year&gt;&lt;/dates&gt;&lt;publisher&gt;Springer&lt;/publisher&gt;&lt;isbn&gt;1608-3032&lt;/isbn&gt;&lt;urls&gt;&lt;/urls&gt;&lt;/record&gt;&lt;/Cite&gt;&lt;/EndNote&gt;</w:instrText>
      </w:r>
      <w:r>
        <w:fldChar w:fldCharType="separate"/>
      </w:r>
      <w:r>
        <w:t>Zhukovskiy &amp; Kudryavtsev (2016)</w:t>
      </w:r>
      <w:r>
        <w:fldChar w:fldCharType="end"/>
      </w:r>
      <w:r>
        <w:t>的研究，基本规律假设一可用数学语言表述为：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Γ=</m:t>
              </m:r>
              <m:d>
                <m:dPr>
                  <m:begChr m:val="⟦"/>
                  <m:endChr m:val="⟧"/>
                  <m:ctrlPr>
                    <w:rPr>
                      <w:rFonts w:ascii="Cambria Math" w:hAnsi="Cambria Math"/>
                    </w:rPr>
                  </m:ctrlPr>
                </m:dPr>
                <m:e>
                  <m:r>
                    <m:rPr>
                      <m:sty m:val="p"/>
                    </m:rPr>
                    <w:rPr>
                      <w:rFonts w:ascii="Cambria Math" w:hAnsi="Cambria Math"/>
                    </w:rPr>
                    <m:t>Ν，</m:t>
                  </m:r>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Χ</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d>
                      <m:ctrlPr>
                        <w:rPr>
                          <w:rFonts w:ascii="Cambria Math" w:hAnsi="Cambria Math"/>
                        </w:rPr>
                      </m:ctrlPr>
                    </m:e>
                    <m:sub>
                      <m:r>
                        <m:rPr>
                          <m:sty m:val="p"/>
                        </m:rPr>
                        <w:rPr>
                          <w:rFonts w:ascii="Cambria Math" w:hAnsi="Cambria Math"/>
                        </w:rPr>
                        <m:t>i∈N</m:t>
                      </m:r>
                      <m:ctrlPr>
                        <w:rPr>
                          <w:rFonts w:ascii="Cambria Math" w:hAnsi="Cambria Math"/>
                        </w:rPr>
                      </m:ctrlPr>
                    </m:sub>
                  </m:sSub>
                  <m:sSub>
                    <m:sSubPr>
                      <m:ctrlPr>
                        <w:rPr>
                          <w:rFonts w:ascii="Cambria Math" w:hAnsi="Cambria Math"/>
                        </w:rPr>
                      </m:ctrlPr>
                    </m:sSubPr>
                    <m:e>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i</m:t>
                              </m:r>
                              <m:ctrlPr>
                                <w:rPr>
                                  <w:rFonts w:ascii="Cambria Math" w:hAnsi="Cambria Math"/>
                                </w:rPr>
                              </m:ctrlPr>
                            </m:sub>
                          </m:sSub>
                          <m:d>
                            <m:dPr>
                              <m:ctrlPr>
                                <w:rPr>
                                  <w:rFonts w:ascii="Cambria Math" w:hAnsi="Cambria Math"/>
                                </w:rPr>
                              </m:ctrlPr>
                            </m:dPr>
                            <m:e>
                              <m:r>
                                <m:rPr>
                                  <m:sty m:val="p"/>
                                </m:rPr>
                                <w:rPr>
                                  <w:rFonts w:ascii="Cambria Math" w:hAnsi="Cambria Math"/>
                                </w:rPr>
                                <m:t>x</m:t>
                              </m:r>
                              <m:ctrlPr>
                                <w:rPr>
                                  <w:rFonts w:ascii="Cambria Math" w:hAnsi="Cambria Math"/>
                                </w:rPr>
                              </m:ctrlPr>
                            </m:e>
                          </m:d>
                          <m:ctrlPr>
                            <w:rPr>
                              <w:rFonts w:ascii="Cambria Math" w:hAnsi="Cambria Math"/>
                            </w:rPr>
                          </m:ctrlPr>
                        </m:e>
                      </m:d>
                      <m:ctrlPr>
                        <w:rPr>
                          <w:rFonts w:ascii="Cambria Math" w:hAnsi="Cambria Math"/>
                        </w:rPr>
                      </m:ctrlPr>
                    </m:e>
                    <m:sub>
                      <m:r>
                        <m:rPr>
                          <m:sty m:val="p"/>
                        </m:rPr>
                        <w:rPr>
                          <w:rFonts w:ascii="Cambria Math" w:hAnsi="Cambria Math"/>
                        </w:rPr>
                        <m:t>i∈N</m:t>
                      </m:r>
                      <m:ctrlPr>
                        <w:rPr>
                          <w:rFonts w:ascii="Cambria Math" w:hAnsi="Cambria Math"/>
                        </w:rPr>
                      </m:ctrlPr>
                    </m:sub>
                  </m:sSub>
                  <m:ctrlPr>
                    <w:rPr>
                      <w:rFonts w:ascii="Cambria Math" w:hAnsi="Cambria Math"/>
                    </w:rPr>
                  </m:ctrlPr>
                </m:e>
              </m:d>
            </m:oMath>
            <w:r>
              <w:t xml:space="preserve">    </w:t>
            </w:r>
          </w:p>
        </w:tc>
        <w:tc>
          <w:tcPr>
            <w:tcW w:w="930" w:type="dxa"/>
            <w:vAlign w:val="center"/>
          </w:tcPr>
          <w:p>
            <w:pPr>
              <w:ind w:firstLine="0" w:firstLineChars="0"/>
              <w:jc w:val="right"/>
            </w:pPr>
            <w: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rPr>
                  </m:ctrlPr>
                </m:naryPr>
                <m:sub>
                  <m:r>
                    <m:rPr/>
                    <w:rPr>
                      <w:rFonts w:ascii="Cambria Math" w:hAnsi="Cambria Math"/>
                    </w:rPr>
                    <m:t>i</m:t>
                  </m:r>
                  <m:r>
                    <m:rPr>
                      <m:sty m:val="p"/>
                    </m:rPr>
                    <w:rPr>
                      <w:rFonts w:ascii="Cambria Math" w:hAnsi="Cambria Math"/>
                    </w:rPr>
                    <m:t>∈N</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nary>
                <m:naryPr>
                  <m:chr m:val="∑"/>
                  <m:limLoc m:val="undOvr"/>
                  <m:supHide m:val="1"/>
                  <m:ctrlPr>
                    <w:rPr>
                      <w:rFonts w:ascii="Cambria Math" w:hAnsi="Cambria Math"/>
                    </w:rPr>
                  </m:ctrlPr>
                </m:naryPr>
                <m:sub>
                  <m:r>
                    <m:rPr/>
                    <w:rPr>
                      <w:rFonts w:ascii="Cambria Math" w:hAnsi="Cambria Math"/>
                    </w:rPr>
                    <m:t>i</m:t>
                  </m:r>
                  <m:r>
                    <m:rPr>
                      <m:sty m:val="p"/>
                    </m:rPr>
                    <w:rPr>
                      <w:rFonts w:ascii="Cambria Math" w:hAnsi="Cambria Math"/>
                    </w:rPr>
                    <m:t>∈N</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oMath>
            <w:r>
              <w:t>(</w:t>
            </w:r>
            <m:oMath>
              <m:sSup>
                <m:sSupPr>
                  <m:ctrlPr>
                    <w:rPr>
                      <w:rFonts w:ascii="Cambria Math" w:hAnsi="Cambria Math"/>
                    </w:rPr>
                  </m:ctrlPr>
                </m:sSupPr>
                <m:e>
                  <m:r>
                    <m:rPr/>
                    <w:rPr>
                      <w:rFonts w:ascii="Cambria Math" w:hAnsi="Cambria Math"/>
                    </w:rPr>
                    <m:t>X</m:t>
                  </m:r>
                  <m:ctrlPr>
                    <w:rPr>
                      <w:rFonts w:ascii="Cambria Math" w:hAnsi="Cambria Math"/>
                    </w:rPr>
                  </m:ctrlPr>
                </m:e>
                <m:sup>
                  <m:r>
                    <m:rPr/>
                    <w:rPr>
                      <w:rFonts w:ascii="Cambria Math" w:hAnsi="Cambria Math"/>
                    </w:rPr>
                    <m:t>p</m:t>
                  </m:r>
                  <m:ctrlPr>
                    <w:rPr>
                      <w:rFonts w:ascii="Cambria Math" w:hAnsi="Cambria Math"/>
                    </w:rPr>
                  </m:ctrlPr>
                </m:sup>
              </m:sSup>
            </m:oMath>
            <w:r>
              <w:t xml:space="preserve">)    </w:t>
            </w:r>
          </w:p>
        </w:tc>
        <w:tc>
          <w:tcPr>
            <w:tcW w:w="930" w:type="dxa"/>
            <w:vAlign w:val="center"/>
          </w:tcPr>
          <w:p>
            <w:pPr>
              <w:ind w:firstLine="0" w:firstLineChars="0"/>
              <w:jc w:val="right"/>
            </w:pPr>
            <w:r>
              <w:t>(3-2)</w:t>
            </w:r>
          </w:p>
        </w:tc>
      </w:tr>
    </w:tbl>
    <w:p>
      <w:r>
        <w:t>式（3-1）表达的在没有任何第三方强制或限制的自由市场经济体系里被交换次数为有限的非投资品商品交换存在式（3-2）表达的帕累托优化竞争性均衡。其中，</w:t>
      </w:r>
      <m:oMath>
        <m:r>
          <m:rPr>
            <m:sty m:val="p"/>
          </m:rPr>
          <w:rPr>
            <w:rFonts w:ascii="Cambria Math" w:hAnsi="Cambria Math"/>
          </w:rPr>
          <m:t>N</m:t>
        </m:r>
      </m:oMath>
      <w:r>
        <w:t>=</w:t>
      </w:r>
      <m:oMath>
        <m:d>
          <m:dPr>
            <m:begChr m:val="{"/>
            <m:endChr m:val="}"/>
            <m:ctrlPr>
              <w:rPr>
                <w:rFonts w:ascii="Cambria Math" w:hAnsi="Cambria Math"/>
                <w:i/>
              </w:rPr>
            </m:ctrlPr>
          </m:dPr>
          <m:e>
            <m:r>
              <m:rPr/>
              <w:rPr>
                <w:rFonts w:ascii="Cambria Math" w:hAnsi="Cambria Math"/>
              </w:rPr>
              <m:t>1,...,N</m:t>
            </m:r>
            <m:ctrlPr>
              <w:rPr>
                <w:rFonts w:ascii="Cambria Math" w:hAnsi="Cambria Math"/>
                <w:i/>
              </w:rPr>
            </m:ctrlPr>
          </m:e>
        </m:d>
      </m:oMath>
      <w:r>
        <w:t>为模型经济体的经济主体数，</w:t>
      </w:r>
      <m:oMath>
        <m:r>
          <m:rPr>
            <m:sty m:val="p"/>
          </m:rPr>
          <w:rPr>
            <w:rFonts w:ascii="Cambria Math" w:hAnsi="Cambria Math"/>
          </w:rPr>
          <m:t>N</m:t>
        </m:r>
      </m:oMath>
      <w:r>
        <w:t>为有限值；i为商品交换经济主体的序号；</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ni</m:t>
            </m:r>
            <m:ctrlPr>
              <w:rPr>
                <w:rFonts w:ascii="Cambria Math" w:hAnsi="Cambria Math"/>
              </w:rPr>
            </m:ctrlPr>
          </m:sup>
        </m:sSup>
      </m:oMath>
      <w:r>
        <w:t>为第</w:t>
      </w:r>
      <m:oMath>
        <m:r>
          <m:rPr>
            <m:sty m:val="p"/>
          </m:rPr>
          <w:rPr>
            <w:rFonts w:ascii="Cambria Math" w:hAnsi="Cambria Math"/>
          </w:rPr>
          <m:t>i</m:t>
        </m:r>
      </m:oMath>
      <w:r>
        <w:t>个经济主体与其它主体的商品交换集合；所有经济主体与其它经济主体商品交换的集合为</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)∈X=</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m:t>
            </m:r>
            <m:ctrlPr>
              <w:rPr>
                <w:rFonts w:ascii="Cambria Math" w:hAnsi="Cambria Math"/>
              </w:rPr>
            </m:ctrlPr>
          </m:sup>
        </m:sSup>
        <m:d>
          <m:dPr>
            <m:ctrlPr>
              <w:rPr>
                <w:rFonts w:ascii="Cambria Math" w:hAnsi="Cambria Math"/>
              </w:rPr>
            </m:ctrlPr>
          </m:dPr>
          <m:e>
            <m:r>
              <m:rPr>
                <m:sty m:val="p"/>
              </m:rPr>
              <w:rPr>
                <w:rFonts w:ascii="Cambria Math" w:hAnsi="Cambria Math"/>
              </w:rPr>
              <m:t>n=</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ctrlPr>
              <w:rPr>
                <w:rFonts w:ascii="Cambria Math" w:hAnsi="Cambria Math"/>
              </w:rPr>
            </m:ctrlPr>
          </m:e>
        </m:d>
      </m:oMath>
      <w:r>
        <w:t>，每个</w:t>
      </w:r>
      <m:oMath>
        <m:r>
          <m:rPr>
            <m:sty m:val="p"/>
          </m:rPr>
          <w:rPr>
            <w:rFonts w:ascii="Cambria Math" w:hAnsi="Cambria Math"/>
          </w:rPr>
          <m:t>i∈N</m:t>
        </m:r>
      </m:oMath>
      <w:r>
        <w:t xml:space="preserve">. </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(x)为第i个经济主体与其它经济主体商品交换后获得效用增加，</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(x)≥0，所有i。</w:t>
      </w:r>
      <m:oMath>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r>
          <m:rPr>
            <m:sty m:val="p"/>
          </m:rPr>
          <w:rPr>
            <w:rFonts w:ascii="Cambria Math" w:hAnsi="Cambria Math"/>
          </w:rPr>
          <m:t>∈X</m:t>
        </m:r>
      </m:oMath>
      <w:r>
        <w:t xml:space="preserve"> 为帕累托优化竞争性均衡的商品交换。</w:t>
      </w:r>
    </w:p>
    <w:p>
      <w:r>
        <w:t>本文认为没有任何第三方强制或限制的自由市场经济的任一非投资品商品交换双方获得的商品效用增加都大于或等于零，即</w:t>
      </w:r>
      <m:oMath>
        <m:sSub>
          <m:sSubPr>
            <m:ctrlPr>
              <w:rPr>
                <w:rFonts w:ascii="Cambria Math" w:hAnsi="Cambria Math"/>
                <w:i/>
              </w:rPr>
            </m:ctrlPr>
          </m:sSubPr>
          <m:e>
            <m:r>
              <m:rPr/>
              <w:rPr>
                <w:rFonts w:hint="default" w:ascii="Cambria Math" w:hAnsi="Cambria Math"/>
                <w:lang w:val="en-US" w:eastAsia="zh-CN"/>
              </w:rPr>
              <m:t>f</m:t>
            </m:r>
            <m:ctrlPr>
              <w:rPr>
                <w:rFonts w:ascii="Cambria Math" w:hAnsi="Cambria Math"/>
                <w:i/>
              </w:rPr>
            </m:ctrlPr>
          </m:e>
          <m:sub>
            <m:r>
              <m:rPr/>
              <w:rPr>
                <w:rFonts w:hint="default" w:ascii="Cambria Math" w:hAnsi="Cambria Math"/>
                <w:lang w:val="en-US" w:eastAsia="zh-CN"/>
              </w:rPr>
              <m:t>i</m:t>
            </m:r>
            <m:ctrlPr>
              <w:rPr>
                <w:rFonts w:ascii="Cambria Math" w:hAnsi="Cambria Math"/>
                <w:i/>
              </w:rPr>
            </m:ctrlPr>
          </m:sub>
        </m:sSub>
      </m:oMath>
      <w:r>
        <w:t>(x)≥0，所有i</w:t>
      </w:r>
      <w:r>
        <w:rPr>
          <w:rFonts w:hint="eastAsia"/>
          <w:lang w:eastAsia="zh-CN"/>
        </w:rPr>
        <w:t>。</w:t>
      </w:r>
      <w:r>
        <w:t>因此</w:t>
      </w:r>
      <w:r>
        <w:rPr>
          <w:rFonts w:hint="eastAsia"/>
          <w:lang w:eastAsia="zh-CN"/>
        </w:rPr>
        <w:t>，</w:t>
      </w:r>
      <w:r>
        <w:t>基本规律假设一的均衡是帕累托优化的。</w:t>
      </w:r>
    </w:p>
    <w:p>
      <w:r>
        <w:t>基本假设一是对阿罗-德布鲁模型关于市场经济商品交换存在竞争性均衡的优化，表现在如下三方面。第一，区分了非投资品商品交换和投资品商品交换，认为非投资品交换存在竞争性均衡，投资品商品交换不存在竞争性均衡。第二，明确假设非投资品商品交换的竞争性均衡是帕累托优化的，以区分非帕累托优化的纳什均衡。第三，明确了自由市场的含义是没有任何强制或限制，其物理意义是法律保护每个经济主体的合法资产，法律保证任何商品交换都出于双方自愿。</w:t>
      </w:r>
    </w:p>
    <w:p>
      <w:pPr>
        <w:pStyle w:val="4"/>
        <w:numPr>
          <w:ilvl w:val="0"/>
          <w:numId w:val="4"/>
        </w:numPr>
        <w:ind w:firstLine="420"/>
        <w:rPr>
          <w:rFonts w:hint="eastAsia"/>
          <w:lang w:eastAsia="zh-CN"/>
        </w:rPr>
      </w:pPr>
      <w:r>
        <w:t>基本规律假设二：自由市场经济</w:t>
      </w:r>
      <w:r>
        <w:rPr>
          <w:rFonts w:hint="eastAsia"/>
          <w:lang w:val="en-US" w:eastAsia="zh-CN"/>
        </w:rPr>
        <w:t>难以</w:t>
      </w:r>
      <w:r>
        <w:t>实现劳动力全就业</w:t>
      </w:r>
      <w:r>
        <w:rPr>
          <w:rFonts w:hint="eastAsia"/>
          <w:lang w:eastAsia="zh-CN"/>
        </w:rPr>
        <w:t>。</w:t>
      </w:r>
    </w:p>
    <w:p>
      <w:pPr>
        <w:rPr>
          <w:rFonts w:hint="eastAsia"/>
          <w:lang w:val="en-US" w:eastAsia="zh-CN"/>
        </w:rPr>
      </w:pPr>
      <w:r>
        <w:rPr>
          <w:rFonts w:hint="eastAsia"/>
          <w:lang w:val="en-US" w:eastAsia="zh-CN"/>
        </w:rPr>
        <w:t>附录2关于商品生产竞争的讨论表明，社会对某商品的购买量决定该商品生产的均衡产量，该商品的生产产能往往大于该产品的均衡产量。把这结论扩展到宏观角度就是社会需求决定社会产出，社会产能往往大于社会需求，劳动力难以实现全就业。</w:t>
      </w:r>
    </w:p>
    <w:p>
      <w:pPr>
        <w:rPr>
          <w:rFonts w:hint="default"/>
          <w:lang w:val="en-US" w:eastAsia="zh-CN"/>
        </w:rPr>
      </w:pPr>
      <w:r>
        <w:t>经济危机时，家庭收入减少，家庭消费需求减少，进一步导致生产消费品的投资需求减少</w:t>
      </w:r>
      <w:r>
        <w:rPr>
          <w:rFonts w:hint="eastAsia"/>
          <w:lang w:eastAsia="zh-CN"/>
        </w:rPr>
        <w:t>，</w:t>
      </w:r>
      <w:r>
        <w:rPr>
          <w:rFonts w:hint="eastAsia"/>
          <w:lang w:val="en-US" w:eastAsia="zh-CN"/>
        </w:rPr>
        <w:t>最后导致就业人口减少</w:t>
      </w:r>
      <w:r>
        <w:t>。这解释了经济危机时劳动力大量失业的原因。</w:t>
      </w:r>
      <w:r>
        <w:rPr>
          <w:rFonts w:hint="eastAsia"/>
          <w:lang w:val="en-US" w:eastAsia="zh-CN"/>
        </w:rPr>
        <w:t>存在</w:t>
      </w:r>
      <w:r>
        <w:t>劳动力失业时，政府投资提高社会需求，提高社会就业，提高家庭收入，提高家庭消费，提高满足政府投资需求和家庭消费需求的私人部门投资需求，并进一步提高就业和家庭消费</w:t>
      </w:r>
      <w:r>
        <w:rPr>
          <w:rFonts w:hint="eastAsia"/>
          <w:lang w:eastAsia="zh-CN"/>
        </w:rPr>
        <w:t>。</w:t>
      </w:r>
      <w:r>
        <w:fldChar w:fldCharType="begin"/>
      </w:r>
      <w:r>
        <w:instrText xml:space="preserve"> ADDIN EN.CITE &lt;EndNote&gt;&lt;Cite AuthorYear="1"&gt;&lt;Author&gt;Adb&lt;/Author&gt;&lt;Year&gt;2016&lt;/Year&gt;&lt;RecNum&gt;941&lt;/RecNum&gt;&lt;DisplayText&gt;Adb, Furceri, &amp;amp; Imf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fldChar w:fldCharType="separate"/>
      </w:r>
      <w:r>
        <w:t>Adb, Furceri, &amp; Imf (2016)</w:t>
      </w:r>
      <w:r>
        <w:fldChar w:fldCharType="end"/>
      </w:r>
      <w:r>
        <w:t>用17个OECD国家1985-2013期间数据分析政府公共投资的效应，其结论是政府投资无论是长期还是短期都增加社会产出，激发而不是抑制私人部门投资，并减少社会失业。该研究支持本文的</w:t>
      </w:r>
      <w:r>
        <w:rPr>
          <w:rFonts w:hint="eastAsia"/>
          <w:lang w:val="en-US" w:eastAsia="zh-CN"/>
        </w:rPr>
        <w:t>前述</w:t>
      </w:r>
      <w:r>
        <w:t>分析。</w:t>
      </w:r>
      <w:r>
        <w:rPr>
          <w:rFonts w:hint="eastAsia"/>
          <w:lang w:val="en-US" w:eastAsia="zh-CN"/>
        </w:rPr>
        <w:t>这为政府投资提供了理论空间。政府投资和支出的意义及约束本文将在第四节进一步讨论。</w:t>
      </w:r>
    </w:p>
    <w:p>
      <w:pPr>
        <w:ind w:firstLineChars="0"/>
        <w:rPr>
          <w:rFonts w:hint="default" w:eastAsia="宋体"/>
          <w:lang w:val="en-US" w:eastAsia="zh-CN"/>
        </w:rPr>
      </w:pPr>
      <w:r>
        <w:t>基本规律假设二</w:t>
      </w:r>
      <w:r>
        <w:rPr>
          <w:rFonts w:hint="eastAsia"/>
          <w:lang w:val="en-US" w:eastAsia="zh-CN"/>
        </w:rPr>
        <w:t>与</w:t>
      </w:r>
      <w:r>
        <w:t>索洛关于自由市场经济能实现劳动力全就业和社会产能全利用的基本规律假设</w:t>
      </w:r>
      <w:r>
        <w:rPr>
          <w:rFonts w:hint="eastAsia"/>
          <w:lang w:val="en-US" w:eastAsia="zh-CN"/>
        </w:rPr>
        <w:t>相反</w:t>
      </w:r>
      <w:r>
        <w:t>。</w:t>
      </w:r>
      <w:r>
        <w:rPr>
          <w:rFonts w:hint="eastAsia"/>
          <w:lang w:val="en-US" w:eastAsia="zh-CN"/>
        </w:rPr>
        <w:t>这意味着本文将提出一个新的市场经济理论框架。</w:t>
      </w:r>
    </w:p>
    <w:p>
      <w:pPr>
        <w:widowControl/>
        <w:rPr>
          <w:szCs w:val="21"/>
        </w:rPr>
      </w:pPr>
      <w:r>
        <w:t>（三）基本规律假设三：</w:t>
      </w:r>
      <w:r>
        <w:rPr>
          <w:szCs w:val="21"/>
        </w:rPr>
        <w:t>知识为</w:t>
      </w:r>
      <m:oMath>
        <m:r>
          <m:rPr>
            <m:sty m:val="p"/>
          </m:rPr>
          <w:rPr>
            <w:rFonts w:ascii="Cambria Math" w:hAnsi="Cambria Math"/>
            <w:szCs w:val="21"/>
          </w:rPr>
          <m:t>无限维为</m:t>
        </m:r>
        <m:sSup>
          <m:sSupPr>
            <m:ctrlPr>
              <w:rPr>
                <w:rFonts w:ascii="Cambria Math" w:hAnsi="Cambria Math"/>
                <w:i/>
                <w:szCs w:val="21"/>
              </w:rPr>
            </m:ctrlPr>
          </m:sSupPr>
          <m:e>
            <m:r>
              <m:rPr/>
              <w:rPr>
                <w:rFonts w:ascii="Cambria Math" w:hAnsi="Cambria Math"/>
                <w:szCs w:val="21"/>
              </w:rPr>
              <m:t>A</m:t>
            </m:r>
            <m:ctrlPr>
              <w:rPr>
                <w:rFonts w:ascii="Cambria Math" w:hAnsi="Cambria Math"/>
                <w:i/>
                <w:szCs w:val="21"/>
              </w:rPr>
            </m:ctrlPr>
          </m:e>
          <m:sup>
            <m:r>
              <m:rPr/>
              <w:rPr>
                <w:rFonts w:ascii="Cambria Math" w:hAnsi="Cambria Math"/>
                <w:szCs w:val="21"/>
              </w:rPr>
              <m:t>n</m:t>
            </m:r>
            <m:ctrlPr>
              <w:rPr>
                <w:rFonts w:ascii="Cambria Math" w:hAnsi="Cambria Math"/>
                <w:i/>
                <w:szCs w:val="21"/>
              </w:rPr>
            </m:ctrlPr>
          </m:sup>
        </m:sSup>
      </m:oMath>
      <w:r>
        <w:rPr>
          <w:szCs w:val="21"/>
        </w:rPr>
        <w:t>，</w:t>
      </w:r>
      <m:oMath>
        <m:r>
          <m:rPr>
            <m:sty m:val="p"/>
          </m:rPr>
          <w:rPr>
            <w:rFonts w:ascii="Cambria Math" w:hAnsi="Cambria Math"/>
            <w:szCs w:val="21"/>
          </w:rPr>
          <m:t>n∈（0,∞）</m:t>
        </m:r>
      </m:oMath>
      <w:r>
        <w:rPr>
          <w:szCs w:val="21"/>
        </w:rPr>
        <w:t>,任一维为无限大，</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∈（0,∞），</m:t>
        </m:r>
        <m:r>
          <m:rPr/>
          <w:rPr>
            <w:rFonts w:ascii="Cambria Math" w:hAnsi="Cambria Math"/>
            <w:szCs w:val="21"/>
          </w:rPr>
          <m:t>i∈N</m:t>
        </m:r>
      </m:oMath>
      <w:r>
        <w:rPr>
          <w:szCs w:val="21"/>
        </w:rPr>
        <w:t>，但一定时间内任一维知识的增长都不会超过某一常数,</w:t>
      </w:r>
      <m:oMath>
        <m:f>
          <m:fPr>
            <m:type m:val="skw"/>
            <m:ctrlPr>
              <w:rPr>
                <w:rFonts w:ascii="Cambria Math" w:hAnsi="Cambria Math"/>
                <w:i/>
                <w:szCs w:val="21"/>
              </w:rPr>
            </m:ctrlPr>
          </m:fPr>
          <m:num>
            <m:r>
              <m:rPr/>
              <w:rPr>
                <w:rFonts w:ascii="Cambria Math" w:hAnsi="Cambria Math"/>
                <w:szCs w:val="21"/>
              </w:rPr>
              <m:t>d</m:t>
            </m:r>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num>
          <m:den>
            <m:r>
              <m:rPr/>
              <w:rPr>
                <w:rFonts w:ascii="Cambria Math" w:hAnsi="Cambria Math"/>
                <w:szCs w:val="21"/>
              </w:rPr>
              <m:t>dt</m:t>
            </m:r>
            <m:ctrlPr>
              <w:rPr>
                <w:rFonts w:ascii="Cambria Math" w:hAnsi="Cambria Math"/>
                <w:szCs w:val="21"/>
              </w:rPr>
            </m:ctrlPr>
          </m:den>
        </m:f>
        <m:r>
          <m:rPr>
            <m:sty m:val="p"/>
          </m:rPr>
          <w:rPr>
            <w:rFonts w:ascii="Cambria Math" w:hAnsi="Cambria Math"/>
            <w:szCs w:val="21"/>
          </w:rPr>
          <m:t>&lt;α,</m:t>
        </m:r>
        <m:r>
          <m:rPr/>
          <w:rPr>
            <w:rFonts w:ascii="Cambria Math" w:hAnsi="Cambria Math"/>
            <w:szCs w:val="21"/>
          </w:rPr>
          <m:t>i∈N</m:t>
        </m:r>
      </m:oMath>
      <w:r>
        <w:rPr>
          <w:szCs w:val="21"/>
        </w:rPr>
        <w:t>，的欧氏空间。</w:t>
      </w:r>
    </w:p>
    <w:p>
      <w:r>
        <w:t>基本假设三是对罗默关于知识假设的优化，表现在如下三个方面。</w:t>
      </w:r>
    </w:p>
    <w:p>
      <w:r>
        <w:t>第一，本文认为知识增加能产出性能更好或成本更低的产品而实现经济增长。知识是无限维，任一维知识无上限的变量，意味着知识增加能带来各种不同的新产品经济而实现经济单调持续无上限增长。罗默仅仅从宏观视角看知识，没有从微观视角看知识的异质性和新知识产出各种新产品。</w:t>
      </w:r>
    </w:p>
    <w:p>
      <w:r>
        <w:t>第二，本文假设知识是所有经济主体的内生变量。人口投资知识希望在市场竞争中获得更好的工资，私人部门企业投资知识搞研发和改善管理以提高市场竞争力，政府投资科学与技术研究以促进全经济体知识水平的提高。罗默假设知识仅仅是私人部门企业为盈利而投资的资本积累，是私人部门的内生变量。</w:t>
      </w:r>
    </w:p>
    <w:p>
      <w:r>
        <w:t>第三，本文假设一定时间内任一维知识的增长不超过某一常数意味着经济产出在一定时间内是有上限的。罗默假设一定时间内知识的增长不超过某一常数为满足索洛模型经济产出是收敛的条件。即本文假设短期经济产出有上限，新古典学派假设短期经济产出收敛。</w:t>
      </w:r>
    </w:p>
    <w:p>
      <w:pPr>
        <w:pStyle w:val="4"/>
        <w:ind w:firstLine="420"/>
      </w:pPr>
      <w:r>
        <w:t>（四）关于消费的假设</w:t>
      </w:r>
    </w:p>
    <w:p>
      <w:pPr>
        <w:rPr>
          <w:szCs w:val="21"/>
        </w:rPr>
      </w:pPr>
      <w:r>
        <w:rPr>
          <w:szCs w:val="21"/>
        </w:rPr>
        <w:t>阿罗</w:t>
      </w:r>
      <w:r>
        <w:rPr>
          <w:rFonts w:hint="eastAsia"/>
          <w:szCs w:val="21"/>
          <w:lang w:val="en-US" w:eastAsia="zh-CN"/>
        </w:rPr>
        <w:t>-</w:t>
      </w:r>
      <w:r>
        <w:rPr>
          <w:szCs w:val="21"/>
        </w:rPr>
        <w:t>德布鲁模型和卢卡斯模型分别提出了关于商品消费存在效用时间优化的基本规律假设，其物理意义是商品生产不能很好地满足消费需求，消费应该节约。附录2已阐述，社会需求决定商品产出，普遍情形是商品生产能力大于商品消费能力，商品消费做效用时间优化不是经济活动的主要矛盾。因此，本文不对商品消费做基本规律假设。</w:t>
      </w:r>
    </w:p>
    <w:p>
      <w:pPr>
        <w:rPr>
          <w:szCs w:val="21"/>
        </w:rPr>
      </w:pPr>
      <w:r>
        <w:rPr>
          <w:szCs w:val="21"/>
        </w:rPr>
        <w:t>本文基本规律假设一关于非投资品商品交换，基本规律假设二关于商品生产，基本规律假设三关于知识，这三个基本规律假设关于经济活动的不同方面，互相独立。这三个假设是对新古典学派和凯恩斯学派关于市场经济基本规律假设的优化改进。</w:t>
      </w:r>
    </w:p>
    <w:p>
      <w:pPr>
        <w:rPr>
          <w:rFonts w:asciiTheme="minorEastAsia" w:hAnsiTheme="minorEastAsia" w:eastAsiaTheme="minorEastAsia" w:cstheme="minorEastAsia"/>
          <w:szCs w:val="21"/>
        </w:rPr>
      </w:pPr>
    </w:p>
    <w:p>
      <w:pPr>
        <w:pStyle w:val="2"/>
      </w:pPr>
      <w:r>
        <w:rPr>
          <w:rFonts w:hint="eastAsia"/>
        </w:rPr>
        <w:t>四、政府管理的市场经济模型</w:t>
      </w:r>
    </w:p>
    <w:p>
      <w:r>
        <w:rPr>
          <w:rFonts w:hint="eastAsia"/>
        </w:rPr>
        <w:t>本节先讨论</w:t>
      </w:r>
      <w:r>
        <w:rPr>
          <w:rFonts w:hint="default"/>
        </w:rPr>
        <w:t>没有</w:t>
      </w:r>
      <w:r>
        <w:rPr>
          <w:rFonts w:hint="eastAsia"/>
        </w:rPr>
        <w:t>国际经济的封闭的政府管理的市场经济模型，然后</w:t>
      </w:r>
      <w:r>
        <w:rPr>
          <w:rFonts w:hint="default"/>
        </w:rPr>
        <w:t>放松到</w:t>
      </w:r>
      <w:r>
        <w:rPr>
          <w:rFonts w:hint="eastAsia"/>
        </w:rPr>
        <w:t>含国际贸易但管理私人部门资本跨境流动</w:t>
      </w:r>
      <w:r>
        <w:rPr>
          <w:rFonts w:hint="default"/>
        </w:rPr>
        <w:t>的</w:t>
      </w:r>
      <w:r>
        <w:rPr>
          <w:rFonts w:hint="eastAsia"/>
        </w:rPr>
        <w:t>半封闭政府管理的市场经济模型。</w:t>
      </w:r>
    </w:p>
    <w:p>
      <w:pPr>
        <w:pStyle w:val="4"/>
        <w:ind w:firstLine="420"/>
      </w:pPr>
      <w:r>
        <w:rPr>
          <w:rFonts w:hint="eastAsia"/>
        </w:rPr>
        <w:t>（一）封闭模型描述</w:t>
      </w:r>
    </w:p>
    <w:p>
      <w:r>
        <w:rPr>
          <w:rFonts w:hint="eastAsia"/>
        </w:rPr>
        <w:t>封闭模型包括私人部门和政府部门。政府部门（以下有时简称政府）包括中央政府和各级地方政府，政府投资的各类组织如国企、大学、科研院所、中小学和医院等。由中央银行（以下称央行），商业银行和政策性银行组成的货币机构也为政府部门。个人和家庭及其投资的各类组织如企业等为私人部门，私人部门与政府部门合资投资的各类组织企业为私人部门。简化起见，把货币机构抽象成没有产出和支出的纯债权债务枢纽，其实际收入和支出归为政府部门。除非特别说明，本文以下部分政府部门包括货币机构的产出和支出但不包括其债权和债务。</w:t>
      </w:r>
    </w:p>
    <w:p>
      <w:r>
        <w:rPr>
          <w:rFonts w:hint="eastAsia"/>
        </w:rPr>
        <w:t>央行依国家法律给商业银行和政策性银行拨入资本金，商业银行依央行制定的管理办法给私人部门贷款，政策性银行依央行制定的管理办法给政府部门贷款。央行根据管理需要拨给商业银行和政策性银行资本金，以管理商业银行和政策性银行的贷款规模，管理货币供应量增长率，管理社会需求。</w:t>
      </w:r>
    </w:p>
    <w:p>
      <w:r>
        <w:rPr>
          <w:rFonts w:hint="eastAsia"/>
        </w:rPr>
        <w:t>央行拨给商业银行和政策性银行的资本金是法令的，没有实物基础虚拟的。央行可以无上限给商业银行和政策性银行拨入资本金，商业银行可免遭储蓄客户挤兑，模型经济体可免于金融危机。</w:t>
      </w:r>
    </w:p>
    <w:p>
      <w:r>
        <w:rPr>
          <w:rFonts w:hint="eastAsia"/>
        </w:rPr>
        <w:t>货币机构为私人部门和政府部门的投资和支出提供部分资金。政府财政由政策性银行贷款平衡，即由货币发行平衡，是货币发行财政。私人部门的最终坏账也由货币机构承担。</w:t>
      </w:r>
    </w:p>
    <w:p>
      <w:r>
        <w:rPr>
          <w:rFonts w:hint="eastAsia"/>
        </w:rPr>
        <w:t>总之，模型经济体政府通过虚拟的货币体系管理市场经济。</w:t>
      </w:r>
    </w:p>
    <w:p>
      <w:pPr>
        <w:pStyle w:val="4"/>
        <w:ind w:firstLine="420"/>
      </w:pPr>
      <w:r>
        <w:rPr>
          <w:rFonts w:hint="eastAsia"/>
        </w:rPr>
        <w:t>（二）全球市场经济体货币体系发展趋势</w:t>
      </w:r>
    </w:p>
    <w:p>
      <w:r>
        <w:rPr>
          <w:rFonts w:hint="eastAsia"/>
        </w:rPr>
        <w:t>商业银行业务是借短放长，储户存款是商业银行的短期债务，而商业银行放给客户的贷款是商业银行的长期债权，两者时间是错配的；并且商业银行放给客户的贷款比储户存在商业银行的存款高若干倍，两者数量也是错配的；这意味着商业银行具有内在的脆弱性。如果因为种种原因储户对在品质较差商业银行的存款安全产生担忧而集体取出存款，品质较差的商业银行将无法满足储户集体取款的要求而破产。品质较差的商业银行破产将影响品质好的银行，导致储户从品质好的银行集体取出存款，最后导致金融危机爆发。金融危机爆发，银行收缩流动性，社会需求萎缩，资产价格下降，更多企业破产，金融危机进一步加深，最后导致全面的金融危机和经济危机</w:t>
      </w:r>
      <w:r>
        <w:fldChar w:fldCharType="begin"/>
      </w:r>
      <w:r>
        <w:instrText xml:space="preserve"> ADDIN EN.CITE &lt;EndNote&gt;&lt;Cite&gt;&lt;Author&gt;Grauwe&lt;/Author&gt;&lt;Year&gt;2010&lt;/Year&gt;&lt;RecNum&gt;951&lt;/RecNum&gt;&lt;DisplayText&gt;(Grauwe, 2010)&lt;/DisplayText&gt;&lt;record&gt;&lt;rec-number&gt;951&lt;/rec-number&gt;&lt;foreign-keys&gt;&lt;key app="EN" db-id="dfw50pzpwrep2aeerx4v2xdyaa5vzeftr0xv" timestamp="1674197932"&gt;951&lt;/key&gt;&lt;/foreign-keys&gt;&lt;ref-type name="Book Section"&gt;5&lt;/ref-type&gt;&lt;contributors&gt;&lt;authors&gt;&lt;author&gt;Grauwe, Paul De&lt;/author&gt;&lt;/authors&gt;&lt;/contributors&gt;&lt;titles&gt;&lt;title&gt;The banking crisis: causes, consequences and remedies&lt;/title&gt;&lt;secondary-title&gt;The Global Crash&lt;/secondary-title&gt;&lt;/titles&gt;&lt;pages&gt;10-31&lt;/pages&gt;&lt;dates&gt;&lt;year&gt;2010&lt;/year&gt;&lt;/dates&gt;&lt;publisher&gt;Springer&lt;/publisher&gt;&lt;urls&gt;&lt;/urls&gt;&lt;/record&gt;&lt;/Cite&gt;&lt;/EndNote&gt;</w:instrText>
      </w:r>
      <w:r>
        <w:fldChar w:fldCharType="separate"/>
      </w:r>
      <w:r>
        <w:t>(Grauwe, 2010)</w:t>
      </w:r>
      <w:r>
        <w:fldChar w:fldCharType="end"/>
      </w:r>
      <w:r>
        <w:rPr>
          <w:rFonts w:hint="eastAsia"/>
        </w:rPr>
        <w:t>。</w:t>
      </w:r>
    </w:p>
    <w:p>
      <w:r>
        <w:rPr>
          <w:rFonts w:hint="eastAsia"/>
        </w:rPr>
        <w:t>因为市场经济顽固地爆发周期性金融危机和经济危机，英美等市场经济国家纷纷成立央行以改善商业银行的固有脆弱性。央行作为政府部门，其使命是维护金融稳定和经济稳定。在平时，央行通过加息或减息等货币政策调节经济的过热或过冷，保持经济稳定；在特殊时期，央行作为最后贷款人为商业银行提供无上限的流动性保证商业银行不因储户集体性取款而破产</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lang w:eastAsia="zh-CN"/>
        </w:rPr>
        <w:t>，</w:t>
      </w:r>
      <w:r>
        <w:rPr>
          <w:rFonts w:hint="eastAsia"/>
          <w:lang w:val="en-US" w:eastAsia="zh-CN"/>
        </w:rPr>
        <w:t>2012</w:t>
      </w:r>
      <w:r>
        <w:t>)</w:t>
      </w:r>
      <w:r>
        <w:fldChar w:fldCharType="end"/>
      </w:r>
      <w:r>
        <w:rPr>
          <w:rFonts w:hint="eastAsia"/>
        </w:rPr>
        <w:t>。</w:t>
      </w:r>
    </w:p>
    <w:p>
      <w:r>
        <w:rPr>
          <w:rFonts w:hint="eastAsia"/>
        </w:rPr>
        <w:t>2007至2008年，美国次贷危机爆发，美联储一方面降低利率另一方面大规模购买抵押背书证券（MBS）以应对金融困难</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lang w:eastAsia="zh-CN"/>
        </w:rPr>
        <w:t>，</w:t>
      </w:r>
      <w:r>
        <w:rPr>
          <w:rFonts w:hint="eastAsia"/>
          <w:lang w:val="en-US" w:eastAsia="zh-CN"/>
        </w:rPr>
        <w:t>2012</w:t>
      </w:r>
      <w:r>
        <w:t>)</w:t>
      </w:r>
      <w:r>
        <w:fldChar w:fldCharType="end"/>
      </w:r>
      <w:r>
        <w:rPr>
          <w:rFonts w:hint="eastAsia"/>
        </w:rPr>
        <w:t>。2020年新冠疫情在全球爆发，美联储和全球30个以上中央银行集体行动实现量化宽松货币政策，购买问题证券为金融市场注入流动性</w:t>
      </w:r>
      <w:r>
        <w:fldChar w:fldCharType="begin"/>
      </w:r>
      <w:r>
        <w:instrText xml:space="preserve"> ADDIN EN.CITE &lt;EndNote&gt;&lt;Cite&gt;&lt;Author&gt;House&lt;/Author&gt;&lt;Year&gt;2010&lt;/Year&gt;&lt;RecNum&gt;946&lt;/RecNum&gt;&lt;DisplayText&gt;(House &amp;amp; Masatlioglu, 2010)&lt;/DisplayText&gt;&lt;record&gt;&lt;rec-number&gt;946&lt;/rec-number&gt;&lt;foreign-keys&gt;&lt;key app="EN" db-id="dfw50pzpwrep2aeerx4v2xdyaa5vzeftr0xv" timestamp="1674197594"&gt;946&lt;/key&gt;&lt;/foreign-keys&gt;&lt;ref-type name="Report"&gt;27&lt;/ref-type&gt;&lt;contributors&gt;&lt;authors&gt;&lt;author&gt;House, Christopher L.&lt;/author&gt;&lt;author&gt;Masatlioglu, Yusufcan&lt;/author&gt;&lt;/authors&gt;&lt;/contributors&gt;&lt;titles&gt;&lt;title&gt;Managing markets for toxic assets&lt;/title&gt;&lt;/titles&gt;&lt;dates&gt;&lt;year&gt;2010&lt;/year&gt;&lt;/dates&gt;&lt;publisher&gt;National Bureau of Economic Research&lt;/publisher&gt;&lt;urls&gt;&lt;/urls&gt;&lt;/record&gt;&lt;/Cite&gt;&lt;/EndNote&gt;</w:instrText>
      </w:r>
      <w:r>
        <w:fldChar w:fldCharType="separate"/>
      </w:r>
      <w:r>
        <w:t>(House &amp; Masatlioglu, 2010)</w:t>
      </w:r>
      <w:r>
        <w:fldChar w:fldCharType="end"/>
      </w:r>
      <w:r>
        <w:rPr>
          <w:rFonts w:hint="eastAsia"/>
        </w:rPr>
        <w:t>。2007、2008和2020年，美国因为货币量化宽松政策而避免了大量商业银行及其它金融机构倒闭，避免了金融危机。</w:t>
      </w:r>
    </w:p>
    <w:p>
      <w:r>
        <w:t>中国自1999年开始成立四大资产管理公司剥离工，建，农，中四大国有商业银行不良资产，让四大国有商业银行恢复健康的资金中介功能</w:t>
      </w:r>
      <w:r>
        <w:fldChar w:fldCharType="begin"/>
      </w:r>
      <w:r>
        <w:instrText xml:space="preserve"> ADDIN EN.CITE &lt;EndNote&gt;&lt;Cite&gt;&lt;Author&gt;丁春燕&lt;/Author&gt;&lt;Year&gt;2008&lt;/Year&gt;&lt;RecNum&gt;962&lt;/RecNum&gt;&lt;DisplayText&gt;(丁春燕, 2008)&lt;/DisplayText&gt;&lt;record&gt;&lt;rec-number&gt;962&lt;/rec-number&gt;&lt;foreign-keys&gt;&lt;key app="EN" db-id="dfw50pzpwrep2aeerx4v2xdyaa5vzeftr0xv" timestamp="1674198322"&gt;962&lt;/key&gt;&lt;/foreign-keys&gt;&lt;ref-type name="Journal Article"&gt;17&lt;/ref-type&gt;&lt;contributors&gt;&lt;authors&gt;&lt;author&gt;&lt;style face="normal" font="default" charset="134" size="100%"&gt;丁春燕&lt;/style&gt;&lt;/author&gt;&lt;/authors&gt;&lt;/contributors&gt;&lt;titles&gt;&lt;title&gt;&lt;style face="normal" font="default" charset="134" size="100%"&gt;商业银行不良资产剥离问题研究综述&lt;/style&gt;&lt;/title&gt;&lt;secondary-title&gt;&lt;style face="normal" font="default" charset="134" size="100%"&gt;时代经贸&lt;/style&gt;&lt;style face="normal" font="default" size="100%"&gt;(&lt;/style&gt;&lt;style face="normal" font="default" charset="134" size="100%"&gt;中旬刊&lt;/style&gt;&lt;style face="normal" font="default" size="100%"&gt;)&lt;/style&gt;&lt;/secondary-title&gt;&lt;/titles&gt;&lt;periodical&gt;&lt;full-title&gt;时代经贸(中旬刊)&lt;/full-title&gt;&lt;/periodical&gt;&lt;pages&gt;199-201&lt;/pages&gt;&lt;number&gt;S3&lt;/number&gt;&lt;keywords&gt;&lt;keyword&gt;商业银行不良资产&lt;/keyword&gt;&lt;keyword&gt;不良贷款&lt;/keyword&gt;&lt;keyword&gt;不良资产剥离&lt;/keyword&gt;&lt;keyword&gt;国有商业银行&lt;/keyword&gt;&lt;keyword&gt;二次剥离&lt;/keyword&gt;&lt;keyword&gt;研究综述&lt;/keyword&gt;&lt;/keywords&gt;&lt;dates&gt;&lt;year&gt;2008&lt;/year&gt;&lt;/dates&gt;&lt;urls&gt;&lt;/urls&gt;&lt;/record&gt;&lt;/Cite&gt;&lt;/EndNote&gt;</w:instrText>
      </w:r>
      <w:r>
        <w:fldChar w:fldCharType="separate"/>
      </w:r>
      <w:r>
        <w:t>(丁春燕, 2008)</w:t>
      </w:r>
      <w:r>
        <w:fldChar w:fldCharType="end"/>
      </w:r>
      <w:r>
        <w:t>。中国因此从未爆发金融危机和经济危机。</w:t>
      </w:r>
    </w:p>
    <w:p>
      <w:r>
        <w:t>以上分析表明，全球市场经济体政府通过央行对商业银行的干预越来越多，而政府通过央行购买商业银行的不良资产意味着政府为商业银行的经营失败负最终责任，这实质上走向了货币体系政府化。上述分析表明，货币体系政府化其积极效果是显著的。</w:t>
      </w:r>
    </w:p>
    <w:p>
      <w:r>
        <w:t>货币体系政府化的结果是货币性质发生改变，货币本身不再是财富，而是政府管理市场经济的虚拟工具。在封闭的模型经济体里，债权债务宏观上总和为零。</w:t>
      </w:r>
    </w:p>
    <w:p>
      <w:pPr>
        <w:pStyle w:val="4"/>
        <w:ind w:firstLine="420"/>
      </w:pPr>
      <w:r>
        <w:t>（三）封闭模型各类关系方程</w:t>
      </w:r>
    </w:p>
    <w:p>
      <w:r>
        <w:t>1. 部门债权债务平衡方程</w:t>
      </w:r>
    </w:p>
    <w:p>
      <w:r>
        <w:t>（1）货币机构债权债务平衡方程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  </w:t>
            </w:r>
          </w:p>
        </w:tc>
        <w:tc>
          <w:tcPr>
            <w:tcW w:w="930" w:type="dxa"/>
            <w:vAlign w:val="center"/>
          </w:tcPr>
          <w:p>
            <w:pPr>
              <w:ind w:firstLine="0" w:firstLineChars="0"/>
              <w:jc w:val="right"/>
            </w:pPr>
            <w: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rPr>
                <w:bCs/>
                <w:szCs w:val="21"/>
              </w:rP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=D</w:t>
            </w:r>
          </w:p>
        </w:tc>
        <w:tc>
          <w:tcPr>
            <w:tcW w:w="930" w:type="dxa"/>
            <w:vAlign w:val="center"/>
          </w:tcPr>
          <w:p>
            <w:pPr>
              <w:ind w:firstLine="0" w:firstLineChars="0"/>
              <w:jc w:val="right"/>
            </w:pPr>
            <w: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260" w:firstLineChars="600"/>
              <w:jc w:val="center"/>
              <w:rPr>
                <w:bCs/>
                <w:szCs w:val="21"/>
              </w:rPr>
            </w:pPr>
            <w:r>
              <w:rPr>
                <w:b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)=M-D</w:t>
            </w:r>
          </w:p>
        </w:tc>
        <w:tc>
          <w:tcPr>
            <w:tcW w:w="930" w:type="dxa"/>
            <w:vAlign w:val="center"/>
          </w:tcPr>
          <w:p>
            <w:pPr>
              <w:ind w:firstLine="0" w:firstLineChars="0"/>
              <w:jc w:val="right"/>
            </w:pPr>
            <w:r>
              <w:t>(4-3)</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为政府部门在货币机构的储蓄余额；M为私人部门和政府部门在货币机构的合计储蓄余额，可视为货币供应量；D为货币机构给私人部门和政府部门的总贷款余额；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为货币机构给政府部门的贷款余额，包括给国企的贷款余额和持有的国债余额。</w:t>
      </w:r>
    </w:p>
    <w:p>
      <w:r>
        <w:t>式（4-3）是货币机构主体的债权债务定义式方程，其物理意义是货币机构通过货币发行（贷款余额增加）为私人部门和政府部门提供一定的资金来源。因为货币机构是政府部门，因此也可以说政府部门通过货币发行机制为私人部门和自身提供部分资金来源。</w:t>
      </w:r>
    </w:p>
    <w:p>
      <w:r>
        <w:t>（2）私人部门与政府部门债权债务平衡方程</w:t>
      </w:r>
    </w:p>
    <w:p>
      <w:r>
        <w:t xml:space="preserve">式（4-3） 移项后得社会债权债务平衡方程：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szCs w:val="21"/>
              </w:rPr>
              <w:t>=</w:t>
            </w:r>
            <w:r>
              <w:rPr>
                <w:i/>
                <w:i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+M-D  </w:t>
            </w:r>
          </w:p>
        </w:tc>
        <w:tc>
          <w:tcPr>
            <w:tcW w:w="930" w:type="dxa"/>
            <w:vAlign w:val="center"/>
          </w:tcPr>
          <w:p>
            <w:pPr>
              <w:ind w:firstLine="0" w:firstLineChars="0"/>
              <w:jc w:val="right"/>
            </w:pPr>
            <w:r>
              <w:t>(4-4)</w:t>
            </w:r>
          </w:p>
        </w:tc>
      </w:tr>
    </w:tbl>
    <w:p>
      <w:r>
        <w:t>式（4-4）的物理意义是：政府部门（包括货币机构）的净负债等于私人部门的净债权，两者总量对冲为零。</w:t>
      </w:r>
    </w:p>
    <w:p>
      <w:r>
        <w:t>（3）私人部门投资、消费、收入、储蓄和借贷平衡方程</w:t>
      </w:r>
    </w:p>
    <w:p>
      <w:r>
        <w:t>时间t到（t+1）期间，私人部门的投资，消费，收入，储蓄和借贷平衡方程为：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p>
        </w:tc>
        <w:tc>
          <w:tcPr>
            <w:tcW w:w="930" w:type="dxa"/>
            <w:vAlign w:val="center"/>
          </w:tcPr>
          <w:p>
            <w:pPr>
              <w:ind w:firstLine="0" w:firstLineChars="0"/>
              <w:jc w:val="right"/>
            </w:pPr>
            <w:r>
              <w:t>(4-5)</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为私人部门时间t到（t+1）期间的消费；</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 xml:space="preserve"> 私人部门时间t到（t+1）期间的名义价格收入；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为（t+1）时刻私人部门在货币机构的储蓄余额；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为t时刻私人部门在货币机构的储蓄余额；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为（t+1）时刻货币机构给私人部门的贷款余额，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为t时刻货币机构给私人部门的贷款余额。</w:t>
      </w:r>
    </w:p>
    <w:p>
      <w:r>
        <w:t>式（4-5）中各个变量为名义价格，其物理意义是货币机构为私人部门的投资和消费提供部分资金来源。</w:t>
      </w:r>
    </w:p>
    <w:p>
      <w:r>
        <w:t>（4）政府部门收入，储蓄，借贷，投资和消费平衡方程</w:t>
      </w:r>
    </w:p>
    <w:p>
      <w:r>
        <w:t>时间t到（t+1）期间，政府部门的收入，储蓄，借贷，投资和消费平衡方程为：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(4-6)</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为政府部门时间t到（t+1）期间的支出；</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为政府部门时间t到（t+1）期间的名义价格收入；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为（t+1）时刻政府部门在货币机构的储蓄余额；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r>
          <m:rPr>
            <m:sty m:val="p"/>
          </m:rPr>
          <w:rPr>
            <w:rFonts w:ascii="Cambria Math" w:hAnsi="Cambria Math"/>
            <w:szCs w:val="21"/>
          </w:rPr>
          <m:t>为政府部门t时刻在货币机构的储蓄余额；</m:t>
        </m:r>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为（t+1）时刻货币机构给政府部门的贷款余额，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为t时刻货币机构给政府部门的贷款余额。</w:t>
      </w:r>
    </w:p>
    <w:p>
      <w:r>
        <w:t>式（4-6）中的各个变量为名义价格，其物理意义是货币机构为政府部门的投资和支出提供部分资金来源。</w:t>
      </w:r>
    </w:p>
    <w:p>
      <w:pPr>
        <w:ind w:firstLine="0" w:firstLineChars="0"/>
      </w:pPr>
      <w:r>
        <w:t>2. 生产要素</w:t>
      </w:r>
    </w:p>
    <w:p>
      <w:r>
        <w:t>（1）人口及知识积累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bCs/>
                <w:szCs w:val="21"/>
              </w:rPr>
              <w:t xml:space="preserve"> 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859" w:type="dxa"/>
            <w:vAlign w:val="center"/>
          </w:tcPr>
          <w:p>
            <w:pPr>
              <w:ind w:firstLine="0" w:firstLineChars="0"/>
              <w:jc w:val="right"/>
            </w:pPr>
            <w:r>
              <w:t>(4-7)</w:t>
            </w:r>
          </w:p>
        </w:tc>
        <w:tc>
          <w:tcPr>
            <w:tcW w:w="859" w:type="dxa"/>
            <w:vAlign w:val="center"/>
          </w:tcPr>
          <w:p>
            <w:pPr>
              <w:ind w:firstLine="0" w:firstLineChars="0"/>
              <w:jc w:val="right"/>
            </w:pPr>
          </w:p>
        </w:tc>
      </w:tr>
    </w:tbl>
    <w:p>
      <w:pPr>
        <w:rPr>
          <w:rFonts w:hint="default"/>
          <w:bCs/>
          <w:szCs w:val="21"/>
        </w:rPr>
      </w:pPr>
      <w:r>
        <w:rPr>
          <w:bCs/>
          <w:szCs w:val="21"/>
        </w:rPr>
        <w:t xml:space="preserve">式中 </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oMath>
      <w:r>
        <w:rPr>
          <w:bCs/>
          <w:szCs w:val="21"/>
        </w:rPr>
        <w:t>为人口对知识的投资，L为人口及人口对知识的投资积累，t为时间，式（4-7）的物理意义是人口自出生就投资自己的知识，知识是人口的内生变量。人口及知识积累L是反映一个经济体生产力水平和国际竞争力最重要的生产要素之一。</w:t>
      </w:r>
    </w:p>
    <w:p>
      <w:r>
        <w:t>（2）私人部门资本积累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930" w:type="dxa"/>
            <w:vAlign w:val="center"/>
          </w:tcPr>
          <w:p>
            <w:pPr>
              <w:ind w:firstLine="0" w:firstLineChars="0"/>
              <w:jc w:val="right"/>
            </w:pPr>
            <w:r>
              <w:t>(4-8)</w:t>
            </w:r>
          </w:p>
        </w:tc>
      </w:tr>
    </w:tbl>
    <w:p>
      <w:pPr>
        <w:rPr>
          <w:rFonts w:hint="default"/>
        </w:rPr>
      </w:pPr>
      <w:r>
        <w:rPr>
          <w:bCs/>
          <w:szCs w:val="21"/>
        </w:rPr>
        <w:t xml:space="preserve">式中 </w:t>
      </w:r>
      <m:oMath>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p</m:t>
            </m:r>
            <m:ctrlPr>
              <w:rPr>
                <w:rFonts w:ascii="Cambria Math" w:hAnsi="Cambria Math"/>
                <w:bCs/>
                <w:szCs w:val="21"/>
              </w:rPr>
            </m:ctrlPr>
          </m:sub>
        </m:sSub>
        <m:r>
          <m:rPr>
            <m:sty m:val="p"/>
          </m:rPr>
          <w:rPr>
            <w:rFonts w:ascii="Cambria Math" w:hAnsi="Cambria Math"/>
            <w:szCs w:val="21"/>
          </w:rPr>
          <m:t>为私人部门投资，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为除人口及知识积累外的私人部门资本积累，包括对知识的投资积累。知识</w:t>
      </w:r>
      <m:oMath>
        <m:r>
          <m:rPr>
            <m:sty m:val="p"/>
          </m:rPr>
          <w:rPr>
            <w:rFonts w:ascii="Cambria Math" w:hAnsi="Cambria Math"/>
            <w:szCs w:val="21"/>
          </w:rPr>
          <m:t>是私人部门的内生变量。</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按即时评估值核算，即时折旧。包涵知识等无形资产的私人部门资本积累是反映一个经济体生产力水平和国际竞争力最重要的生产要素之一。</w:t>
      </w:r>
    </w:p>
    <w:p>
      <w:r>
        <w:t xml:space="preserve"> （3）政府部门资本积累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p>
        </w:tc>
        <w:tc>
          <w:tcPr>
            <w:tcW w:w="930" w:type="dxa"/>
            <w:vAlign w:val="center"/>
          </w:tcPr>
          <w:p>
            <w:pPr>
              <w:ind w:firstLine="0" w:firstLineChars="0"/>
              <w:jc w:val="right"/>
            </w:pPr>
            <w:r>
              <w:t>(4-9)</w:t>
            </w:r>
          </w:p>
        </w:tc>
      </w:tr>
    </w:tbl>
    <w:p>
      <m:oMath>
        <m:r>
          <m:rPr>
            <m:sty m:val="p"/>
          </m:rPr>
          <w:rPr>
            <w:rFonts w:ascii="Cambria Math" w:hAnsi="Cambria Math"/>
            <w:szCs w:val="21"/>
          </w:rPr>
          <m:t>式中</m:t>
        </m:r>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g</m:t>
            </m:r>
            <m:ctrlPr>
              <w:rPr>
                <w:rFonts w:ascii="Cambria Math" w:hAnsi="Cambria Math"/>
                <w:bCs/>
                <w:szCs w:val="21"/>
              </w:rPr>
            </m:ctrlPr>
          </m:sub>
        </m:sSub>
        <m:r>
          <m:rPr>
            <m:sty m:val="p"/>
          </m:rPr>
          <w:rPr>
            <w:rFonts w:ascii="Cambria Math" w:hAnsi="Cambria Math"/>
            <w:szCs w:val="21"/>
          </w:rPr>
          <m:t>为政府部门投资，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资本积累，包括政府投资的大学和科研院所完成的科学与技术研究，政府投资建设的经济基础设施以及政府投资建设的公园等休闲娱乐设施。政府资本积累能减少私人部门外部成本，提高社会生产力水平，提高私人部门企业国际竞争力。知识</w:t>
      </w:r>
      <m:oMath>
        <m:r>
          <m:rPr>
            <m:sty m:val="p"/>
          </m:rPr>
          <w:rPr>
            <w:rFonts w:ascii="Cambria Math" w:hAnsi="Cambria Math"/>
            <w:szCs w:val="21"/>
          </w:rPr>
          <m:t>是政府部门的内生变量</m:t>
        </m:r>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按即时评估值核算，即时折旧。</w:t>
      </w:r>
    </w:p>
    <w:p>
      <w:r>
        <w:t xml:space="preserve"> （4）经济体禀赋</w:t>
      </w:r>
    </w:p>
    <w:p>
      <w:r>
        <w:t xml:space="preserve"> 经济体禀赋是新结构经济学的重要概念之一，但</w:t>
      </w:r>
      <w:r>
        <w:fldChar w:fldCharType="begin"/>
      </w:r>
      <w:r>
        <w:instrText xml:space="preserve"> ADDIN EN.CITE &lt;EndNote&gt;&lt;Cite AuthorYear="1"&gt;&lt;Author&gt;林毅夫&lt;/Author&gt;&lt;Year&gt;2011&lt;/Year&gt;&lt;RecNum&gt;971&lt;/RecNum&gt;&lt;DisplayText&gt;林毅夫 (2011)&lt;/DisplayText&gt;&lt;record&gt;&lt;rec-number&gt;971&lt;/rec-number&gt;&lt;foreign-keys&gt;&lt;key app="EN" db-id="dfw50pzpwrep2aeerx4v2xdyaa5vzeftr0xv" timestamp="1675666013"&gt;971&lt;/key&gt;&lt;/foreign-keys&gt;&lt;ref-type name="Journal Article"&gt;17&lt;/ref-type&gt;&lt;contributors&gt;&lt;authors&gt;&lt;author&gt;&lt;style face="normal" font="default" charset="134" size="100%"&gt;林毅夫&lt;/style&gt;&lt;style face="normal" font="default" size="100%"&gt;,&lt;/style&gt;&lt;/author&gt;&lt;/authors&gt;&lt;/contributors&gt;&lt;titles&gt;&lt;title&gt;&lt;style face="normal" font="default" charset="134" size="100%"&gt;新结构经济学——重构发展经济学的框架&lt;/style&gt;&lt;/title&gt;&lt;secondary-title&gt;&lt;style face="normal" font="default" charset="134" size="100%"&gt;经济学&lt;/style&gt;&lt;/secondary-title&gt;&lt;/titles&gt;&lt;periodical&gt;&lt;full-title&gt;经济学&lt;/full-title&gt;&lt;/periodical&gt;&lt;pages&gt;1-32&lt;/pages&gt;&lt;volume&gt;10&lt;/volume&gt;&lt;number&gt;01&lt;/number&gt;&lt;keywords&gt;&lt;keyword&gt;新结构经济学&lt;/keyword&gt;&lt;keyword&gt;比较优势&lt;/keyword&gt;&lt;keyword&gt;新古典经济学&lt;/keyword&gt;&lt;keyword&gt;禀赋结构&lt;/keyword&gt;&lt;keyword&gt;经济学家&lt;/keyword&gt;&lt;/keywords&gt;&lt;dates&gt;&lt;year&gt;2011&lt;/year&gt;&lt;/dates&gt;&lt;urls&gt;&lt;/urls&gt;&lt;electronic-resource-num&gt;10.13821/j.cnki.ceq.2011.01.014&amp;#xD;&lt;/electronic-resource-num&gt;&lt;/record&gt;&lt;/Cite&gt;&lt;/EndNote&gt;</w:instrText>
      </w:r>
      <w:r>
        <w:fldChar w:fldCharType="separate"/>
      </w:r>
      <w:r>
        <w:t>林毅夫 (2011)</w:t>
      </w:r>
      <w:r>
        <w:fldChar w:fldCharType="end"/>
      </w:r>
      <w:r>
        <w:t>对经济体禀赋的含义只做了文字表述。本文对经济体禀赋做如下数学化定量定义。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(4-10)</w:t>
            </w:r>
          </w:p>
        </w:tc>
      </w:tr>
    </w:tbl>
    <w:p>
      <w:r>
        <w:t>式中N为自然资源。式（4-10）是经济体禀赋定义方程。经济体禀赋是本文模型经济体生产要素的综合指标，综合反映一个经济体生产力水平和国际竞争力，是一个经济体特定时刻不变价格社会产出的最大值，其具体含义见后文式（4-13）和图4-2不变价格社会产出与货币供应量增长率关系曲线。</w:t>
      </w:r>
    </w:p>
    <w:p>
      <w:pPr>
        <w:rPr>
          <w:rFonts w:hint="default"/>
        </w:rPr>
      </w:pPr>
      <w:r>
        <w:t>社会产出分消费和投资和两部分，消费改善民众生活水平，投资增加各经济主体资本积累提高经济体禀赋。</w:t>
      </w:r>
    </w:p>
    <w:p>
      <w:r>
        <w:rPr>
          <w:rFonts w:hint="eastAsia"/>
          <w:lang w:val="en-US" w:eastAsia="zh-CN"/>
        </w:rPr>
        <w:t>3</w:t>
      </w:r>
      <w:r>
        <w:t>. 生产函数方程和通货膨胀函数方程</w:t>
      </w:r>
    </w:p>
    <w:p>
      <w:r>
        <w:t>（1）名义价格生产函数方程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y=A（L，N，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(4-11)</w:t>
            </w:r>
          </w:p>
        </w:tc>
      </w:tr>
    </w:tbl>
    <w:p>
      <w:r>
        <w:rPr>
          <w:bCs/>
          <w:szCs w:val="21"/>
        </w:rPr>
        <w:t>式中y为单位时间名义价格社会产出。式（4-11）为名义价格社会产出定义方程。A（L，N，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）为经济体禀赋函函数，反映经济体含知识的资本积累</w:t>
      </w:r>
      <w:r>
        <w:rPr>
          <w:bCs/>
          <w:i/>
          <w:i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)为名义价格社会产出因子函数，反映经济体社会需求，是货币供应量增长率的函数。函数A（L，N，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)不互相独立。 式（4-11）也可写成：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y=a*F(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(4-12)</w:t>
            </w:r>
          </w:p>
        </w:tc>
      </w:tr>
    </w:tbl>
    <w:p>
      <w:pPr>
        <w:rPr>
          <w:bCs/>
          <w:szCs w:val="21"/>
        </w:rPr>
      </w:pPr>
      <w:r>
        <w:rPr>
          <w:bCs/>
          <w:szCs w:val="21"/>
        </w:rPr>
        <w:t>式中</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为货币供应量单位时间增长率。F(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为名义价格社会产出因子函数。式（4-12）的物理意义是名义价格社会产出等于经济体禀赋乘以名义价格社会产出因子函数，即不变价格社会产出由经济体禀赋和当期社会需求决定。</w:t>
      </w:r>
    </w:p>
    <w:p>
      <w:r>
        <w:t>（2）不变价格生产函数方程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(4-13)</w:t>
            </w:r>
          </w:p>
        </w:tc>
      </w:tr>
    </w:tbl>
    <w:p>
      <w:pPr>
        <w:ind w:left="210" w:leftChars="100" w:firstLine="210" w:firstLineChars="100"/>
        <w:rPr>
          <w:bCs/>
          <w:szCs w:val="21"/>
        </w:rPr>
      </w:pPr>
      <w:r>
        <w:rPr>
          <w:bCs/>
          <w:szCs w:val="21"/>
        </w:rPr>
        <w:t>式</w:t>
      </w:r>
      <w:r>
        <w:rPr>
          <w:bCs/>
          <w:i/>
          <w:iCs/>
          <w:szCs w:val="21"/>
        </w:rPr>
        <w:t>中</w:t>
      </w: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为单位时间不变价格社会产出。式（4-13）为不变价格社会产出定义方程</w:t>
      </w:r>
      <w:r>
        <w:rPr>
          <w:bCs/>
          <w:i/>
          <w:i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为不变价格社会产出因子函数，是社会需求或货币供应量增长率的函数。函数A（L，N，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不互相独立。 式（4-13）也可写成：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=a*G(</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 xml:space="preserve">)  </w:t>
            </w:r>
          </w:p>
        </w:tc>
        <w:tc>
          <w:tcPr>
            <w:tcW w:w="930" w:type="dxa"/>
            <w:vAlign w:val="center"/>
          </w:tcPr>
          <w:p>
            <w:pPr>
              <w:ind w:firstLine="0" w:firstLineChars="0"/>
              <w:jc w:val="right"/>
            </w:pPr>
            <w:r>
              <w:t>(4-14)</w:t>
            </w:r>
          </w:p>
        </w:tc>
      </w:tr>
    </w:tbl>
    <w:p>
      <w:pPr>
        <w:rPr>
          <w:rFonts w:hint="default" w:eastAsia="宋体"/>
          <w:lang w:val="en-US" w:eastAsia="zh-CN"/>
        </w:rPr>
      </w:pPr>
      <w:r>
        <w:t>式（4-14）是单位时间不变价格社会产出的定义式方程，其物理意义是不变价格社会产出等于经济禀赋乘以不变价格社会产出因子函数，即不变价格社会产出由经济体禀赋和当期社会需求决定。</w:t>
      </w:r>
      <w:r>
        <w:rPr>
          <w:rFonts w:hint="eastAsia"/>
          <w:lang w:val="en-US" w:eastAsia="zh-CN"/>
        </w:rPr>
        <w:t>后文</w:t>
      </w:r>
      <w:r>
        <w:t>图4-2不变价格社会产出与货币供应量增长率关系曲线</w:t>
      </w:r>
      <w:r>
        <w:rPr>
          <w:rFonts w:hint="eastAsia"/>
          <w:lang w:val="en-US" w:eastAsia="zh-CN"/>
        </w:rPr>
        <w:t>将指出，经济体禀赋</w:t>
      </w: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r>
        <w:rPr>
          <w:rFonts w:hint="eastAsia"/>
          <w:lang w:val="en-US" w:eastAsia="zh-CN"/>
        </w:rPr>
        <w:t>为</w:t>
      </w:r>
      <w:r>
        <w:t>单位时间不变价格社会产出</w:t>
      </w:r>
      <w:r>
        <w:rPr>
          <w:rFonts w:hint="eastAsia"/>
          <w:lang w:val="en-US" w:eastAsia="zh-CN"/>
        </w:rPr>
        <w:t>的上限。</w:t>
      </w:r>
    </w:p>
    <w:p>
      <w:r>
        <w:t xml:space="preserve">（3）通货膨胀率函数方程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(4-15)</w:t>
            </w:r>
          </w:p>
        </w:tc>
      </w:tr>
    </w:tbl>
    <w:p>
      <w:pPr>
        <w:rPr>
          <w:bCs/>
          <w:szCs w:val="21"/>
        </w:rPr>
      </w:pPr>
      <w:r>
        <w:rPr>
          <w:bCs/>
          <w:szCs w:val="21"/>
        </w:rPr>
        <w:t>式中p为通货膨胀率（居民消费品价格上涨率）。</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)为通货膨胀率函数，是社会需求或货币供应量增长率的函数，因而式（4-15）可写成：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p=H(</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(4-16)</w:t>
            </w:r>
          </w:p>
        </w:tc>
      </w:tr>
    </w:tbl>
    <w:p>
      <w:pPr>
        <w:rPr>
          <w:bCs/>
          <w:szCs w:val="21"/>
        </w:rPr>
      </w:pPr>
      <w:r>
        <w:rPr>
          <w:bCs/>
          <w:szCs w:val="21"/>
        </w:rPr>
        <w:t>式</w:t>
      </w:r>
      <w:r>
        <w:rPr>
          <w:rFonts w:hint="eastAsia"/>
          <w:bCs/>
          <w:szCs w:val="21"/>
          <w:lang w:eastAsia="zh-CN"/>
        </w:rPr>
        <w:t>（</w:t>
      </w:r>
      <w:r>
        <w:rPr>
          <w:rFonts w:hint="eastAsia"/>
          <w:bCs/>
          <w:szCs w:val="21"/>
          <w:lang w:val="en-US" w:eastAsia="zh-CN"/>
        </w:rPr>
        <w:t>4-15</w:t>
      </w:r>
      <w:r>
        <w:rPr>
          <w:rFonts w:hint="eastAsia"/>
          <w:bCs/>
          <w:szCs w:val="21"/>
          <w:lang w:eastAsia="zh-CN"/>
        </w:rPr>
        <w:t>），</w:t>
      </w:r>
      <w:r>
        <w:rPr>
          <w:bCs/>
          <w:szCs w:val="21"/>
        </w:rPr>
        <w:t>（4-16）是关于通货膨胀率的定义式方程，其物理意义是通货膨胀率是社会需求或货币供应量增长率的函数。</w:t>
      </w:r>
    </w:p>
    <w:p>
      <w:pPr>
        <w:ind w:firstLineChars="0"/>
      </w:pPr>
      <w:r>
        <w:rPr>
          <w:rFonts w:hint="eastAsia"/>
          <w:lang w:val="en-US" w:eastAsia="zh-CN"/>
        </w:rPr>
        <w:t>4</w:t>
      </w:r>
      <w:r>
        <w:t>. 异质货币数量方程</w:t>
      </w:r>
    </w:p>
    <w:p>
      <w:r>
        <w:t>城市居民住房价格由城市居民货币财富竞争性排序形成，一般商品价格由商品成本决定，两种价格形成机制不同。为此本文提出异质货币数量方程：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M=</w:t>
            </w:r>
            <m:oMath>
              <m:nary>
                <m:naryPr>
                  <m:chr m:val="∑"/>
                  <m:limLoc m:val="undOvr"/>
                  <m:subHide m:val="1"/>
                  <m:supHide m:val="1"/>
                  <m:ctrlPr>
                    <w:rPr>
                      <w:rFonts w:ascii="Cambria Math" w:hAnsi="Cambria Math"/>
                      <w:szCs w:val="21"/>
                    </w:rPr>
                  </m:ctrlPr>
                </m:naryPr>
                <m:sub>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k</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sSub>
                    <m:sSubPr>
                      <m:ctrlPr>
                        <w:rPr>
                          <w:rFonts w:ascii="Cambria Math" w:hAnsi="Cambria Math"/>
                          <w:i/>
                          <w:szCs w:val="21"/>
                        </w:rPr>
                      </m:ctrlPr>
                    </m:sSubPr>
                    <m:e>
                      <m:r>
                        <m:rPr/>
                        <w:rPr>
                          <w:rFonts w:ascii="Cambria Math" w:hAnsi="Cambria Math"/>
                          <w:szCs w:val="21"/>
                        </w:rPr>
                        <m:t>Q</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szCs w:val="21"/>
                    </w:rPr>
                  </m:ctrlPr>
                </m:e>
              </m:nary>
            </m:oMath>
          </w:p>
        </w:tc>
        <w:tc>
          <w:tcPr>
            <w:tcW w:w="930" w:type="dxa"/>
            <w:vAlign w:val="center"/>
          </w:tcPr>
          <w:p>
            <w:pPr>
              <w:ind w:firstLine="0" w:firstLineChars="0"/>
              <w:jc w:val="right"/>
            </w:pPr>
            <w:r>
              <w:t>(4-17)</w:t>
            </w:r>
          </w:p>
        </w:tc>
      </w:tr>
    </w:tbl>
    <w:p>
      <w:r>
        <w:t xml:space="preserve"> </w:t>
      </w:r>
      <w:r>
        <w:rPr>
          <w:rFonts w:hint="eastAsia"/>
          <w:lang w:val="en-US" w:eastAsia="zh-CN"/>
        </w:rPr>
        <w:t>式中</w:t>
      </w:r>
      <m:oMath>
        <m:sSub>
          <m:sSubPr>
            <m:ctrlPr>
              <w:rPr>
                <w:rFonts w:ascii="Cambria Math" w:hAnsi="Cambria Math"/>
                <w:i/>
                <w:lang w:val="en-US"/>
              </w:rPr>
            </m:ctrlPr>
          </m:sSubPr>
          <m:e>
            <m:r>
              <m:rPr/>
              <w:rPr>
                <w:rFonts w:hint="default" w:ascii="Cambria Math" w:hAnsi="Cambria Math"/>
                <w:lang w:val="en-US" w:eastAsia="zh-CN"/>
              </w:rPr>
              <m:t>k</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为第i种商品的货币供应量系数，</w:t>
      </w:r>
      <m:oMath>
        <m:sSub>
          <m:sSubPr>
            <m:ctrlPr>
              <w:rPr>
                <w:rFonts w:ascii="Cambria Math" w:hAnsi="Cambria Math"/>
                <w:i/>
                <w:lang w:val="en-US"/>
              </w:rPr>
            </m:ctrlPr>
          </m:sSubPr>
          <m:e>
            <m:r>
              <m:rPr/>
              <w:rPr>
                <w:rFonts w:hint="default" w:ascii="Cambria Math" w:hAnsi="Cambria Math"/>
                <w:lang w:val="en-US" w:eastAsia="zh-CN"/>
              </w:rPr>
              <m:t>P</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为第i种商品的市场价格，</w:t>
      </w:r>
      <m:oMath>
        <m:sSub>
          <m:sSubPr>
            <m:ctrlPr>
              <w:rPr>
                <w:rFonts w:ascii="Cambria Math" w:hAnsi="Cambria Math"/>
                <w:i/>
                <w:lang w:val="en-US"/>
              </w:rPr>
            </m:ctrlPr>
          </m:sSubPr>
          <m:e>
            <m:r>
              <m:rPr/>
              <w:rPr>
                <w:rFonts w:hint="default" w:ascii="Cambria Math" w:hAnsi="Cambria Math"/>
                <w:lang w:val="en-US" w:eastAsia="zh-CN"/>
              </w:rPr>
              <m:t>Q</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为第i种商品的销售量。</w:t>
      </w:r>
      <w:r>
        <w:t>图4-1为1979年以来中国货币供应量M1增长率，住房价格增长率，CPI增长率对比图。可以看出，居民消费品物价指数上涨率与居民住房价格上涨率表现出比较大的差异性，在消费品物价指数年增长率低于2%的时间里，货币供应量增长率可以保持每年10%以上，这支持异质货币数量方程主张。</w:t>
      </w:r>
    </w:p>
    <w:p>
      <w:r>
        <w:rPr>
          <w:rFonts w:hint="eastAsia" w:asciiTheme="minorEastAsia" w:hAnsiTheme="minorEastAsia" w:eastAsiaTheme="minorEastAsia" w:cstheme="minorEastAsia"/>
          <w:szCs w:val="21"/>
        </w:rPr>
        <w:drawing>
          <wp:inline distT="0" distB="0" distL="0" distR="0">
            <wp:extent cx="5270500" cy="40767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0500" cy="4076700"/>
                    </a:xfrm>
                    <a:prstGeom prst="rect">
                      <a:avLst/>
                    </a:prstGeom>
                    <a:noFill/>
                    <a:ln>
                      <a:noFill/>
                    </a:ln>
                  </pic:spPr>
                </pic:pic>
              </a:graphicData>
            </a:graphic>
          </wp:inline>
        </w:drawing>
      </w:r>
    </w:p>
    <w:p>
      <w:pPr>
        <w:pStyle w:val="5"/>
        <w:ind w:firstLine="360"/>
      </w:pPr>
      <w:r>
        <w:rPr>
          <w:rFonts w:hint="eastAsia"/>
        </w:rPr>
        <w:t>图4-</w:t>
      </w:r>
      <w:r>
        <w:t>1 1979</w:t>
      </w:r>
      <w:r>
        <w:rPr>
          <w:rFonts w:hint="eastAsia"/>
        </w:rPr>
        <w:t>至2</w:t>
      </w:r>
      <w:r>
        <w:t>020</w:t>
      </w:r>
      <w:r>
        <w:rPr>
          <w:rFonts w:hint="eastAsia"/>
        </w:rPr>
        <w:t>年中国货币供应量、居民消费价格指数、住房价格增长率</w:t>
      </w:r>
    </w:p>
    <w:p>
      <w:pPr>
        <w:rPr>
          <w:rFonts w:hint="eastAsia"/>
        </w:rPr>
      </w:pPr>
      <w:r>
        <w:rPr>
          <w:rFonts w:hint="eastAsia"/>
        </w:rPr>
        <w:t>货币供应量增长率是政府投资和政府货币政策的操作空间。消费品物价指数年增长率低于2%的时间里，货币供应量增长率可以保持年10%以上，这意味着政府投资和政府货币政策有比较大的操作空间。</w:t>
      </w:r>
    </w:p>
    <w:p>
      <w:pPr>
        <w:pStyle w:val="4"/>
        <w:numPr>
          <w:ilvl w:val="0"/>
          <w:numId w:val="0"/>
        </w:numPr>
        <w:ind w:leftChars="200"/>
        <w:rPr>
          <w:rFonts w:hint="default"/>
          <w:lang w:val="en-US" w:eastAsia="zh-CN"/>
        </w:rPr>
      </w:pPr>
      <w:r>
        <w:rPr>
          <w:rFonts w:hint="eastAsia"/>
          <w:lang w:val="en-US" w:eastAsia="zh-CN"/>
        </w:rPr>
        <w:t>（四）三条</w:t>
      </w:r>
      <w:r>
        <w:rPr>
          <w:rFonts w:hint="eastAsia"/>
        </w:rPr>
        <w:t>经济变量关系曲线</w:t>
      </w:r>
      <w:r>
        <w:rPr>
          <w:rFonts w:hint="eastAsia"/>
          <w:lang w:val="en-US" w:eastAsia="zh-CN"/>
        </w:rPr>
        <w:t>与社会需求优化</w:t>
      </w:r>
    </w:p>
    <w:p>
      <w:pPr>
        <w:numPr>
          <w:ilvl w:val="0"/>
          <w:numId w:val="0"/>
        </w:numPr>
        <w:ind w:leftChars="200"/>
        <w:rPr>
          <w:rFonts w:hint="default" w:eastAsia="宋体"/>
          <w:lang w:val="en-US" w:eastAsia="zh-CN"/>
        </w:rPr>
      </w:pPr>
      <w:r>
        <w:t xml:space="preserve">1. </w:t>
      </w:r>
      <w:r>
        <w:rPr>
          <w:rFonts w:hint="eastAsia"/>
          <w:lang w:val="en-US" w:eastAsia="zh-CN"/>
        </w:rPr>
        <w:t>三条经济变量关系曲线</w:t>
      </w:r>
    </w:p>
    <w:p>
      <w:r>
        <w:rPr>
          <w:rFonts w:hint="eastAsia"/>
        </w:rPr>
        <w:t>图4-2是分别根据式（4-1</w:t>
      </w:r>
      <w:r>
        <w:t>2</w:t>
      </w:r>
      <w:r>
        <w:rPr>
          <w:rFonts w:hint="eastAsia"/>
        </w:rPr>
        <w:t>），（4-1</w:t>
      </w:r>
      <w:r>
        <w:t>4</w:t>
      </w:r>
      <w:r>
        <w:rPr>
          <w:rFonts w:hint="eastAsia"/>
        </w:rPr>
        <w:t>）和式（4-1</w:t>
      </w:r>
      <w:r>
        <w:t>6</w:t>
      </w:r>
      <w:r>
        <w:rPr>
          <w:rFonts w:hint="eastAsia"/>
        </w:rPr>
        <w:t>）做出的关于名义价格社会产出与货币供应量增长率、不变价格社会产出与货币供应量增长率和通货膨胀率与货币供应量增长率关系曲线示意图。</w:t>
      </w:r>
    </w:p>
    <w:p>
      <w:pPr>
        <w:jc w:val="center"/>
      </w:pPr>
      <w:r>
        <w:drawing>
          <wp:inline distT="0" distB="0" distL="0" distR="0">
            <wp:extent cx="3364865" cy="2469515"/>
            <wp:effectExtent l="0" t="0" r="698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l="22772" t="28942" r="34096" b="14786"/>
                    <a:stretch>
                      <a:fillRect/>
                    </a:stretch>
                  </pic:blipFill>
                  <pic:spPr>
                    <a:xfrm>
                      <a:off x="0" y="0"/>
                      <a:ext cx="3381922" cy="2482480"/>
                    </a:xfrm>
                    <a:prstGeom prst="rect">
                      <a:avLst/>
                    </a:prstGeom>
                    <a:noFill/>
                    <a:ln>
                      <a:noFill/>
                    </a:ln>
                  </pic:spPr>
                </pic:pic>
              </a:graphicData>
            </a:graphic>
          </wp:inline>
        </w:drawing>
      </w:r>
    </w:p>
    <w:p>
      <w:pPr>
        <w:pStyle w:val="5"/>
        <w:ind w:firstLine="360"/>
      </w:pPr>
      <w:r>
        <w:rPr>
          <w:rFonts w:hint="eastAsia"/>
        </w:rPr>
        <w:t>图4-</w:t>
      </w:r>
      <w:r>
        <w:t xml:space="preserve">2 </w:t>
      </w:r>
      <w:r>
        <w:rPr>
          <w:rFonts w:hint="eastAsia"/>
        </w:rPr>
        <w:t>名义价格</w:t>
      </w:r>
      <w:r>
        <w:rPr>
          <w:rFonts w:hint="eastAsia"/>
          <w:lang w:val="en-US" w:eastAsia="zh-CN"/>
        </w:rPr>
        <w:t>产出</w:t>
      </w:r>
      <w:r>
        <w:rPr>
          <w:rFonts w:hint="eastAsia"/>
        </w:rPr>
        <w:t>、不变价格产出、通货膨胀率与货币供应量增长</w:t>
      </w:r>
      <w:r>
        <w:rPr>
          <w:rFonts w:hint="eastAsia"/>
          <w:lang w:val="en-US" w:eastAsia="zh-CN"/>
        </w:rPr>
        <w:t>率</w:t>
      </w:r>
      <w:r>
        <w:rPr>
          <w:rFonts w:hint="eastAsia" w:hAnsi="Cambria Math"/>
          <w:bCs/>
          <w:i w:val="0"/>
          <w:szCs w:val="21"/>
          <w:lang w:val="en-US" w:eastAsia="zh-CN"/>
        </w:rPr>
        <w:t>的</w:t>
      </w:r>
      <w:r>
        <w:rPr>
          <w:rFonts w:hint="eastAsia"/>
        </w:rPr>
        <w:t>关系曲线示意图</w:t>
      </w:r>
    </w:p>
    <w:p>
      <w:pPr>
        <w:rPr>
          <w:rFonts w:hint="default" w:eastAsia="宋体"/>
          <w:lang w:val="en-US" w:eastAsia="zh-CN"/>
        </w:rPr>
      </w:pPr>
      <w:r>
        <w:rPr>
          <w:rFonts w:hint="eastAsia"/>
          <w:lang w:val="en-US" w:eastAsia="zh-CN"/>
        </w:rPr>
        <w:t>图4-2</w:t>
      </w:r>
      <w:r>
        <w:rPr>
          <w:rFonts w:hint="eastAsia"/>
        </w:rPr>
        <w:t>三条曲线不是根据现实经济数据拟合而出</w:t>
      </w:r>
      <w:r>
        <w:rPr>
          <w:rFonts w:hint="eastAsia"/>
          <w:lang w:eastAsia="zh-CN"/>
        </w:rPr>
        <w:t>，</w:t>
      </w:r>
      <w:r>
        <w:rPr>
          <w:rFonts w:hint="eastAsia"/>
          <w:lang w:val="en-US" w:eastAsia="zh-CN"/>
        </w:rPr>
        <w:t>而是如</w:t>
      </w:r>
      <w:r>
        <w:t>希克斯</w:t>
      </w:r>
      <w:r>
        <w:rPr>
          <w:rFonts w:hint="eastAsia"/>
          <w:lang w:val="en-US" w:eastAsia="zh-CN"/>
        </w:rPr>
        <w:t>根据对市场经济的观察</w:t>
      </w:r>
      <w:r>
        <w:t>认为IS-LM曲线有</w:t>
      </w:r>
      <w:r>
        <w:rPr>
          <w:rFonts w:hint="eastAsia"/>
          <w:lang w:eastAsia="zh-CN"/>
        </w:rPr>
        <w:t>他</w:t>
      </w:r>
      <w:r>
        <w:rPr>
          <w:rFonts w:hint="eastAsia"/>
          <w:lang w:val="en-US" w:eastAsia="zh-CN"/>
        </w:rPr>
        <w:t>所认为的</w:t>
      </w:r>
      <w:r>
        <w:t>特性那样，本文</w:t>
      </w:r>
      <w:r>
        <w:rPr>
          <w:rFonts w:hint="eastAsia"/>
          <w:lang w:val="en-US" w:eastAsia="zh-CN"/>
        </w:rPr>
        <w:t>根据前文第三节关于市场经济的三个基本规律假设和对市场经济的观察</w:t>
      </w:r>
      <w:r>
        <w:t>认为上述三条曲线有如</w:t>
      </w:r>
      <w:r>
        <w:rPr>
          <w:rFonts w:hint="eastAsia"/>
          <w:lang w:val="en-US" w:eastAsia="zh-CN"/>
        </w:rPr>
        <w:t>图4-2所示的</w:t>
      </w:r>
      <w:r>
        <w:t>特性。</w:t>
      </w:r>
      <w:r>
        <w:rPr>
          <w:rFonts w:hint="eastAsia"/>
          <w:lang w:val="en-US" w:eastAsia="zh-CN"/>
        </w:rPr>
        <w:t>新古典学派索洛模型资本积累对人口的比例r与时间的关系曲线也是按这种办法做出。经济变量关系曲线是基本规律假设的具体化。</w:t>
      </w:r>
    </w:p>
    <w:p>
      <w:pPr>
        <w:pStyle w:val="31"/>
        <w:numPr>
          <w:ilvl w:val="0"/>
          <w:numId w:val="0"/>
        </w:numPr>
        <w:ind w:firstLine="420" w:firstLineChars="200"/>
      </w:pPr>
      <w:r>
        <w:t>（1）单位时间不变价格社会产出与货币供应量增长率曲线</w:t>
      </w:r>
    </w:p>
    <w:p>
      <w:r>
        <w:t>该曲线的趋势是政府投资和货币政策带来的名义价格社会需求越大，由此带来的货币供应量增长率越高，单位时间不变价格社会产出越高。但该曲线存在一个上限a，不管政府投资和货币政策带来的名义价格社会需求有多大，因此带来的货币供应量增长率有多高，单位时间不变价格社会产出都不会超过a，即</w:t>
      </w:r>
      <m:oMath>
        <m:sSup>
          <m:sSupPr>
            <m:ctrlPr>
              <w:rPr>
                <w:rFonts w:ascii="Cambria Math" w:hAnsi="Cambria Math"/>
                <w:i/>
                <w:szCs w:val="21"/>
              </w:rPr>
            </m:ctrlPr>
          </m:sSupPr>
          <m:e>
            <m:r>
              <m:rPr/>
              <w:rPr>
                <w:rFonts w:ascii="Cambria Math" w:hAnsi="Cambria Math"/>
                <w:szCs w:val="21"/>
              </w:rPr>
              <m:t>y</m:t>
            </m:r>
            <m:ctrlPr>
              <w:rPr>
                <w:rFonts w:ascii="Cambria Math" w:hAnsi="Cambria Math"/>
                <w:i/>
                <w:szCs w:val="21"/>
              </w:rPr>
            </m:ctrlPr>
          </m:e>
          <m:sup>
            <m:r>
              <m:rPr/>
              <w:rPr>
                <w:rFonts w:ascii="Cambria Math" w:hAnsi="Cambria Math"/>
                <w:szCs w:val="21"/>
              </w:rPr>
              <m:t>'</m:t>
            </m:r>
            <m:ctrlPr>
              <w:rPr>
                <w:rFonts w:ascii="Cambria Math" w:hAnsi="Cambria Math"/>
                <w:i/>
                <w:szCs w:val="21"/>
              </w:rPr>
            </m:ctrlPr>
          </m:sup>
        </m:sSup>
      </m:oMath>
      <w:r>
        <w:rPr>
          <w:szCs w:val="21"/>
        </w:rPr>
        <w:t>&lt;a</w:t>
      </w:r>
      <w:r>
        <w:t>。</w:t>
      </w:r>
    </w:p>
    <w:p>
      <w:r>
        <w:t>a值为经济体特定时刻最大单位时间不变价格社会产出，是该时刻由式（4-10）表述的经济体禀赋。</w:t>
      </w:r>
    </w:p>
    <w:p>
      <w:pPr>
        <w:pStyle w:val="31"/>
        <w:numPr>
          <w:ilvl w:val="0"/>
          <w:numId w:val="0"/>
        </w:numPr>
        <w:ind w:firstLine="210" w:firstLineChars="100"/>
      </w:pPr>
      <w:r>
        <w:t>（</w:t>
      </w:r>
      <w:r>
        <w:rPr>
          <w:rFonts w:hint="eastAsia"/>
          <w:lang w:val="en-US" w:eastAsia="zh-CN"/>
        </w:rPr>
        <w:t>2</w:t>
      </w:r>
      <w:r>
        <w:t>）通货膨胀率与货币供应量增长率关系曲线</w:t>
      </w:r>
    </w:p>
    <w:p>
      <w:r>
        <w:t>该曲线的趋势是政府投资和货币政策带来的名义价格社会需求越大，货币供应量增长率越高，通货膨胀率越高。通货膨胀率存在一个阈值b，当通货膨胀率小于阈值b时，政府投资和货币政策带来的社会需求增加将主要带来劳动力和资本积累利用率的增加，带来不变价格社会产出增加。当通货膨胀率大于阈值b时，劳动力和社会资本积累已被比较充分利用，政府投资和货币政策带来的名义价格社会需求增加将主要不再增加劳动力和资本积累的利用率，而是主要带来通货膨胀。通货膨胀带来经济不稳定，通货膨胀率越高，经济越不稳定。</w:t>
      </w:r>
    </w:p>
    <w:p>
      <w:r>
        <w:t>通货膨胀率阈值对应的货币供应量增长率为c值，c为触发通货膨胀的货币供应量增长率临界点。</w:t>
      </w:r>
    </w:p>
    <w:p>
      <w:pPr>
        <w:pStyle w:val="31"/>
        <w:numPr>
          <w:ilvl w:val="0"/>
          <w:numId w:val="0"/>
        </w:numPr>
        <w:ind w:left="420" w:leftChars="0"/>
      </w:pPr>
      <w:r>
        <w:t>（</w:t>
      </w:r>
      <w:r>
        <w:rPr>
          <w:rFonts w:hint="eastAsia"/>
          <w:lang w:val="en-US" w:eastAsia="zh-CN"/>
        </w:rPr>
        <w:t>3</w:t>
      </w:r>
      <w:r>
        <w:t>）单位时间名义价格社会产出与货币供应量增长率曲线</w:t>
      </w:r>
    </w:p>
    <w:p>
      <w:r>
        <w:t>该曲线的趋势是政府投资和货币政策带来的名义价格社会需求越大，名义价格社会产出越大。当政府投资和货币政策带来的货币供应量增长率高于c值时，名义价格社会产出将含通货膨胀虚增部分，货币供应量增长率越高，通货膨胀率越高，虚增部分越大。</w:t>
      </w:r>
    </w:p>
    <w:p>
      <w:r>
        <w:t>b值可作为政府控制通货膨胀的政策目标，保证政府投资和货币政策带来的名义价格社会需求增加引发的通货膨胀率不超过b值。</w:t>
      </w:r>
    </w:p>
    <w:p>
      <w:pPr>
        <w:pStyle w:val="4"/>
        <w:numPr>
          <w:ilvl w:val="0"/>
          <w:numId w:val="0"/>
        </w:numPr>
        <w:ind w:firstLine="420" w:firstLineChars="200"/>
        <w:rPr>
          <w:rFonts w:hint="eastAsia"/>
          <w:lang w:val="en-US" w:eastAsia="zh-CN"/>
        </w:rPr>
      </w:pPr>
      <w:r>
        <w:t xml:space="preserve">2. </w:t>
      </w:r>
      <w:r>
        <w:rPr>
          <w:rFonts w:hint="eastAsia"/>
          <w:lang w:val="en-US" w:eastAsia="zh-CN"/>
        </w:rPr>
        <w:t>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）的优化</w:t>
      </w:r>
    </w:p>
    <w:p>
      <w:pPr>
        <w:rPr>
          <w:rFonts w:hint="eastAsia"/>
          <w:lang w:val="en-US" w:eastAsia="zh-CN"/>
        </w:rPr>
      </w:pPr>
      <w:r>
        <w:rPr>
          <w:rFonts w:hint="eastAsia"/>
          <w:lang w:val="en-US" w:eastAsia="zh-CN"/>
        </w:rPr>
        <w:t>虽然图4-2三条经济变量关系曲线的自变量为货币供应量增长率，实际上决定货币供应量增长率的是政府政策影响的社会需求（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），但社会需求不是单一变量而是多变量，这就产生了社会需求</w:t>
      </w:r>
      <w:r>
        <w:rPr>
          <w:rFonts w:hint="default"/>
          <w:lang w:eastAsia="zh-CN"/>
        </w:rPr>
        <w:t>的</w:t>
      </w:r>
      <w:r>
        <w:rPr>
          <w:rFonts w:hint="eastAsia"/>
          <w:lang w:val="en-US" w:eastAsia="zh-CN"/>
        </w:rPr>
        <w:t>优化问题。</w:t>
      </w:r>
    </w:p>
    <w:p>
      <w:pPr>
        <w:rPr>
          <w:rFonts w:hint="eastAsia"/>
          <w:lang w:val="en-US" w:eastAsia="zh-CN"/>
        </w:rPr>
      </w:pPr>
      <w:r>
        <w:rPr>
          <w:rFonts w:hint="default"/>
          <w:lang w:eastAsia="zh-CN"/>
        </w:rPr>
        <w:t>关于</w:t>
      </w:r>
      <w:r>
        <w:rPr>
          <w:rFonts w:hint="eastAsia"/>
          <w:lang w:val="en-US" w:eastAsia="zh-CN"/>
        </w:rPr>
        <w:t>私人部门投资和消费（</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rFonts w:hint="eastAsia"/>
          <w:lang w:val="en-US" w:eastAsia="zh-CN"/>
        </w:rPr>
        <w:t>）与政府投资和支出（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）之间的优化</w:t>
      </w:r>
      <w:r>
        <w:rPr>
          <w:rFonts w:hint="default"/>
          <w:lang w:eastAsia="zh-CN"/>
        </w:rPr>
        <w:t>，</w:t>
      </w:r>
      <w:r>
        <w:rPr>
          <w:rFonts w:hint="eastAsia"/>
          <w:lang w:val="en-US" w:eastAsia="zh-CN"/>
        </w:rPr>
        <w:t>这通过政府货币政策（利率</w:t>
      </w:r>
      <w:r>
        <w:rPr>
          <w:rFonts w:hint="eastAsia" w:ascii="微软雅黑" w:hAnsi="微软雅黑" w:eastAsia="微软雅黑" w:cs="微软雅黑"/>
          <w:lang w:val="en-US" w:eastAsia="zh-CN"/>
        </w:rPr>
        <w:t>、</w:t>
      </w:r>
      <w:r>
        <w:rPr>
          <w:rFonts w:hint="eastAsia"/>
          <w:lang w:val="en-US" w:eastAsia="zh-CN"/>
        </w:rPr>
        <w:t>贷款资格审查和贷款规模控制）来完成。当通货膨胀率高于政策目标b值时，政府除了直接减少投资和支出（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）还可以通过货币政策提高利率抑制私人部门需求以使通货膨胀率回到政策目标b值以下。当通货膨胀率低于政策目标b值时，政府除直接增加投资和支出外还可以通过货币政策降低利率刺激私人部门需求以</w:t>
      </w:r>
      <w:r>
        <w:rPr>
          <w:rFonts w:hint="default"/>
          <w:lang w:eastAsia="zh-CN"/>
        </w:rPr>
        <w:t>改善民众生活</w:t>
      </w:r>
      <w:r>
        <w:rPr>
          <w:rFonts w:hint="eastAsia" w:ascii="微软雅黑" w:hAnsi="微软雅黑" w:eastAsia="微软雅黑" w:cs="微软雅黑"/>
          <w:lang w:val="en-US" w:eastAsia="zh-CN"/>
        </w:rPr>
        <w:t>、</w:t>
      </w:r>
      <w:r>
        <w:rPr>
          <w:rFonts w:hint="eastAsia"/>
          <w:lang w:val="en-US" w:eastAsia="zh-CN"/>
        </w:rPr>
        <w:t>提高经济体禀赋，但保证通货膨胀率不突破政策目标b值上限。当货币政策利率接近零而通货膨胀率仍在政策目标b值以下时，政府</w:t>
      </w:r>
      <w:r>
        <w:rPr>
          <w:rFonts w:hint="default"/>
          <w:lang w:eastAsia="zh-CN"/>
        </w:rPr>
        <w:t>可以仅</w:t>
      </w:r>
      <w:r>
        <w:rPr>
          <w:rFonts w:hint="eastAsia"/>
          <w:lang w:val="en-US" w:eastAsia="zh-CN"/>
        </w:rPr>
        <w:t>靠增加政府投资和支出增加社会需求以</w:t>
      </w:r>
      <w:r>
        <w:rPr>
          <w:rFonts w:hint="default"/>
          <w:lang w:eastAsia="zh-CN"/>
        </w:rPr>
        <w:t>改善民众生活</w:t>
      </w:r>
      <w:r>
        <w:rPr>
          <w:rFonts w:hint="eastAsia" w:ascii="微软雅黑" w:hAnsi="微软雅黑" w:eastAsia="微软雅黑" w:cs="微软雅黑"/>
          <w:lang w:val="en-US" w:eastAsia="zh-CN"/>
        </w:rPr>
        <w:t>、</w:t>
      </w:r>
      <w:r>
        <w:rPr>
          <w:rFonts w:hint="eastAsia"/>
          <w:lang w:val="en-US" w:eastAsia="zh-CN"/>
        </w:rPr>
        <w:t>提高经济体禀赋。</w:t>
      </w:r>
    </w:p>
    <w:p>
      <w:r>
        <w:rPr>
          <w:rFonts w:hint="default"/>
          <w:lang w:eastAsia="zh-CN"/>
        </w:rPr>
        <w:t>关于</w:t>
      </w:r>
      <w:r>
        <w:rPr>
          <w:rFonts w:hint="eastAsia"/>
          <w:lang w:val="en-US" w:eastAsia="zh-CN"/>
        </w:rPr>
        <w:t>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hint="default" w:ascii="Cambria Math" w:hAnsi="Cambria Math"/>
            <w:szCs w:val="21"/>
            <w:lang w:val="en-US" w:eastAsia="zh-CN"/>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lang w:val="en-US" w:eastAsia="zh-CN"/>
        </w:rPr>
        <w:t>）具体项目之间的优化</w:t>
      </w:r>
      <w:r>
        <w:rPr>
          <w:rFonts w:hint="default"/>
          <w:lang w:eastAsia="zh-CN"/>
        </w:rPr>
        <w:t>，本文主张政府依自身的价值主张对投资和支出项目综合排序。</w:t>
      </w:r>
      <w:r>
        <w:rPr>
          <w:rFonts w:hint="eastAsia"/>
          <w:lang w:bidi="ar"/>
        </w:rPr>
        <w:t>萨缪尔</w:t>
      </w:r>
      <w:r>
        <w:rPr>
          <w:lang w:bidi="ar"/>
        </w:rPr>
        <w:t>森</w:t>
      </w:r>
      <w:r>
        <w:rPr>
          <w:rFonts w:hint="eastAsia"/>
          <w:lang w:eastAsia="zh-CN" w:bidi="ar"/>
        </w:rPr>
        <w:t>（</w:t>
      </w:r>
      <w:r>
        <w:rPr>
          <w:rFonts w:hint="eastAsia"/>
          <w:lang w:val="en-US" w:eastAsia="zh-CN" w:bidi="ar"/>
        </w:rPr>
        <w:t>2010</w:t>
      </w:r>
      <w:r>
        <w:rPr>
          <w:rFonts w:hint="eastAsia"/>
          <w:lang w:eastAsia="zh-CN" w:bidi="ar"/>
        </w:rPr>
        <w:t>）</w:t>
      </w:r>
      <w:r>
        <w:rPr>
          <w:rFonts w:hint="eastAsia"/>
          <w:lang w:val="en-US" w:eastAsia="zh-CN" w:bidi="ar"/>
        </w:rPr>
        <w:t>认为</w:t>
      </w:r>
      <w:r>
        <w:rPr>
          <w:lang w:bidi="ar"/>
        </w:rPr>
        <w:t>消费品</w:t>
      </w:r>
      <w:r>
        <w:rPr>
          <w:rFonts w:hint="eastAsia"/>
          <w:lang w:bidi="ar"/>
        </w:rPr>
        <w:t>效用是一种满意度，反映消费者对商品和服务的排序</w:t>
      </w:r>
      <w:r>
        <w:rPr>
          <w:rFonts w:hint="eastAsia"/>
          <w:lang w:eastAsia="zh-CN" w:bidi="ar"/>
        </w:rPr>
        <w:t>。</w:t>
      </w:r>
      <w:r>
        <w:rPr>
          <w:rFonts w:hint="eastAsia"/>
          <w:lang w:val="en-US" w:eastAsia="zh-CN" w:bidi="ar"/>
        </w:rPr>
        <w:t>借鉴</w:t>
      </w:r>
      <w:r>
        <w:rPr>
          <w:rFonts w:hint="eastAsia"/>
          <w:lang w:bidi="ar"/>
        </w:rPr>
        <w:t>萨缪尔</w:t>
      </w:r>
      <w:r>
        <w:rPr>
          <w:lang w:bidi="ar"/>
        </w:rPr>
        <w:t>森</w:t>
      </w:r>
      <w:r>
        <w:rPr>
          <w:rFonts w:hint="eastAsia"/>
          <w:lang w:val="en-US" w:eastAsia="zh-CN" w:bidi="ar"/>
        </w:rPr>
        <w:t>关于</w:t>
      </w:r>
      <w:r>
        <w:rPr>
          <w:lang w:bidi="ar"/>
        </w:rPr>
        <w:t>消费品</w:t>
      </w:r>
      <w:r>
        <w:rPr>
          <w:rFonts w:hint="eastAsia"/>
          <w:lang w:bidi="ar"/>
        </w:rPr>
        <w:t>效用</w:t>
      </w:r>
      <w:r>
        <w:rPr>
          <w:rFonts w:hint="eastAsia"/>
          <w:lang w:val="en-US" w:eastAsia="zh-CN" w:bidi="ar"/>
        </w:rPr>
        <w:t>的定义，本文认为政府对其</w:t>
      </w:r>
      <w:r>
        <w:rPr>
          <w:rFonts w:hint="eastAsia"/>
          <w:lang w:val="en-US" w:eastAsia="zh-CN"/>
        </w:rPr>
        <w:t>投资和支出</w:t>
      </w:r>
      <w:r>
        <w:rPr>
          <w:rFonts w:hint="default"/>
          <w:lang w:eastAsia="zh-CN"/>
        </w:rPr>
        <w:t>的具体项目的排序应该体现</w:t>
      </w:r>
      <w:r>
        <w:rPr>
          <w:rFonts w:hint="eastAsia"/>
          <w:lang w:val="en-US" w:eastAsia="zh-CN"/>
        </w:rPr>
        <w:t>自身的价值主张，</w:t>
      </w:r>
      <w:r>
        <w:t>如果政府更</w:t>
      </w:r>
      <w:r>
        <w:rPr>
          <w:rFonts w:hint="eastAsia"/>
          <w:lang w:val="en-US" w:eastAsia="zh-CN"/>
        </w:rPr>
        <w:t>侧重</w:t>
      </w:r>
      <w:r>
        <w:rPr>
          <w:rFonts w:hint="default"/>
          <w:lang w:eastAsia="zh-CN"/>
        </w:rPr>
        <w:t>照顾</w:t>
      </w:r>
      <w:r>
        <w:t>落后地区和低收入人群</w:t>
      </w:r>
      <w:r>
        <w:rPr>
          <w:rFonts w:hint="eastAsia"/>
          <w:lang w:val="en-US" w:eastAsia="zh-CN"/>
        </w:rPr>
        <w:t>时就</w:t>
      </w:r>
      <w:r>
        <w:rPr>
          <w:rFonts w:hint="default"/>
          <w:lang w:eastAsia="zh-CN"/>
        </w:rPr>
        <w:t>可以</w:t>
      </w:r>
      <w:r>
        <w:rPr>
          <w:rFonts w:hint="eastAsia"/>
          <w:lang w:val="en-US" w:eastAsia="zh-CN"/>
        </w:rPr>
        <w:t>把</w:t>
      </w:r>
      <w:r>
        <w:rPr>
          <w:rFonts w:hint="default"/>
          <w:lang w:eastAsia="zh-CN"/>
        </w:rPr>
        <w:t>支持</w:t>
      </w:r>
      <w:r>
        <w:t>落后地区和低收入人群的项目放在</w:t>
      </w:r>
      <w:r>
        <w:rPr>
          <w:rFonts w:hint="eastAsia"/>
          <w:lang w:val="en-US" w:eastAsia="zh-CN"/>
        </w:rPr>
        <w:t>优先位置</w:t>
      </w:r>
      <w:r>
        <w:t>。</w:t>
      </w:r>
    </w:p>
    <w:p>
      <w:pPr>
        <w:pStyle w:val="4"/>
        <w:numPr>
          <w:ilvl w:val="0"/>
          <w:numId w:val="0"/>
        </w:numPr>
        <w:ind w:firstLine="420" w:firstLineChars="200"/>
        <w:rPr>
          <w:rFonts w:hint="default"/>
          <w:lang w:val="en-US" w:eastAsia="zh-CN"/>
        </w:rPr>
      </w:pPr>
      <w:r>
        <w:rPr>
          <w:rFonts w:hint="eastAsia"/>
          <w:lang w:val="en-US" w:eastAsia="zh-CN"/>
        </w:rPr>
        <w:t>总之，</w:t>
      </w:r>
      <w:r>
        <w:rPr>
          <w:rFonts w:hint="default"/>
          <w:lang w:eastAsia="zh-CN"/>
        </w:rPr>
        <w:t>私人部门投资和消费</w:t>
      </w:r>
      <w:r>
        <w:rPr>
          <w:rFonts w:hint="eastAsia" w:ascii="微软雅黑" w:hAnsi="微软雅黑" w:eastAsia="微软雅黑" w:cs="微软雅黑"/>
          <w:lang w:val="en-US" w:eastAsia="zh-CN"/>
        </w:rPr>
        <w:t>、</w:t>
      </w:r>
      <w:r>
        <w:rPr>
          <w:rFonts w:hint="eastAsia"/>
          <w:lang w:val="en-US" w:eastAsia="zh-CN"/>
        </w:rPr>
        <w:t>政府投资及支出</w:t>
      </w:r>
      <w:r>
        <w:rPr>
          <w:rFonts w:hint="default"/>
          <w:lang w:eastAsia="zh-CN"/>
        </w:rPr>
        <w:t>之间</w:t>
      </w:r>
      <w:r>
        <w:rPr>
          <w:rFonts w:hint="eastAsia"/>
          <w:lang w:val="en-US" w:eastAsia="zh-CN"/>
        </w:rPr>
        <w:t>的优化</w:t>
      </w:r>
      <w:r>
        <w:rPr>
          <w:rFonts w:hint="default"/>
          <w:lang w:eastAsia="zh-CN"/>
        </w:rPr>
        <w:t>问题</w:t>
      </w:r>
      <w:r>
        <w:rPr>
          <w:rFonts w:hint="eastAsia"/>
          <w:lang w:val="en-US" w:eastAsia="zh-CN"/>
        </w:rPr>
        <w:t>是一个</w:t>
      </w:r>
      <w:r>
        <w:rPr>
          <w:rFonts w:hint="default"/>
          <w:lang w:eastAsia="zh-CN"/>
        </w:rPr>
        <w:t>带一定主观色彩很复杂很综合的问题</w:t>
      </w:r>
      <w:r>
        <w:rPr>
          <w:rFonts w:hint="eastAsia"/>
          <w:lang w:val="en-US" w:eastAsia="zh-CN"/>
        </w:rPr>
        <w:t>，不存在客观的唯一解。</w:t>
      </w:r>
      <w:r>
        <w:t>借鉴弗里德曼对演绎经济学与实证经济学的态度，</w:t>
      </w:r>
      <w:r>
        <w:rPr>
          <w:rFonts w:hint="eastAsia"/>
          <w:lang w:val="en-US" w:eastAsia="zh-CN"/>
        </w:rPr>
        <w:t>本文主张</w:t>
      </w:r>
      <w:r>
        <w:t>用主观和直觉确定这一优化问题，具体包括如下三点：第一，综合评估政府投资和支出项目的经济效益与社会效率，效率与公平兼顾；第二，能直接实现盈利的项目由私人部门投资，让市场竞争选出最优秀的经营主体；第三，私人部门投资和政府投资不一定有明确的界限，应保证各种体制经济主体公平竞争。</w:t>
      </w:r>
    </w:p>
    <w:p>
      <w:pPr>
        <w:pStyle w:val="4"/>
        <w:ind w:firstLine="420"/>
      </w:pPr>
      <w:r>
        <w:t>（</w:t>
      </w:r>
      <w:r>
        <w:rPr>
          <w:rFonts w:hint="eastAsia"/>
          <w:lang w:val="en-US" w:eastAsia="zh-CN"/>
        </w:rPr>
        <w:t>五</w:t>
      </w:r>
      <w:r>
        <w:t>）封闭模型放松为含国际贸易但管理私人资本跨境流动</w:t>
      </w:r>
    </w:p>
    <w:p>
      <w:r>
        <w:t>1. 模型描述</w:t>
      </w:r>
    </w:p>
    <w:p>
      <w:r>
        <w:t>这里把前文封闭模型放松为含以国家为主体的与其它经济体的国际贸易，但同时增加政府管理私人部门资本跨境流动、对外投资和融资。</w:t>
      </w:r>
    </w:p>
    <w:p>
      <w:r>
        <w:t>本文定义国与国之间的自由国际贸易指没有任何第三方强制和限制，双方完全自愿的国与国之间的贸易。国与国之间的贸易协议不是强制或限制，是自愿。本文的自由国际贸易满足本文第三节基本规律假设一“在没有任何第三方强制或限制的自由市场经济体系里，被交换次数为有限的非投资品商品交换存在使交易主体资产效用增加的帕累托优化竞争性均衡。”的条件，因此上述自由国际贸易存在帕累托优化竞争性均衡。</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m:sty m:val="p"/>
                  </m:rPr>
                  <w:rPr>
                    <w:rFonts w:ascii="Cambria Math" w:hAnsi="Cambria Math"/>
                    <w:szCs w:val="21"/>
                  </w:rPr>
                  <m:t>Γ=</m:t>
                </m:r>
                <m:d>
                  <m:dPr>
                    <m:begChr m:val="⟦"/>
                    <m:endChr m:val="⟧"/>
                    <m:ctrlPr>
                      <w:rPr>
                        <w:rFonts w:ascii="Cambria Math" w:hAnsi="Cambria Math"/>
                        <w:szCs w:val="21"/>
                      </w:rPr>
                    </m:ctrlPr>
                  </m:dPr>
                  <m:e>
                    <m:r>
                      <m:rPr>
                        <m:sty m:val="p"/>
                      </m:rPr>
                      <w:rPr>
                        <w:rFonts w:ascii="Cambria Math" w:hAnsi="Cambria Math"/>
                        <w:szCs w:val="21"/>
                      </w:rPr>
                      <m:t>Ν，</m:t>
                    </m:r>
                    <m:sSub>
                      <m:sSubPr>
                        <m:ctrlPr>
                          <w:rPr>
                            <w:rFonts w:ascii="Cambria Math" w:hAnsi="Cambria Math"/>
                            <w:szCs w:val="21"/>
                          </w:rPr>
                        </m:ctrlPr>
                      </m:sSubPr>
                      <m:e>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Χ</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sSub>
                      <m:sSubPr>
                        <m:ctrlPr>
                          <w:rPr>
                            <w:rFonts w:ascii="Cambria Math" w:hAnsi="Cambria Math"/>
                            <w:szCs w:val="21"/>
                          </w:rPr>
                        </m:ctrlPr>
                      </m:sSubPr>
                      <m:e>
                        <m:r>
                          <m:rPr>
                            <m:sty m:val="p"/>
                          </m:rPr>
                          <w:rPr>
                            <w:rFonts w:ascii="Cambria Math" w:hAnsi="Cambria Math"/>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f</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d>
                              <m:dPr>
                                <m:ctrlPr>
                                  <w:rPr>
                                    <w:rFonts w:ascii="Cambria Math" w:hAnsi="Cambria Math"/>
                                    <w:szCs w:val="21"/>
                                  </w:rPr>
                                </m:ctrlPr>
                              </m:dPr>
                              <m:e>
                                <m:r>
                                  <m:rPr>
                                    <m:sty m:val="p"/>
                                  </m:rPr>
                                  <w:rPr>
                                    <w:rFonts w:ascii="Cambria Math" w:hAnsi="Cambria Math"/>
                                    <w:szCs w:val="21"/>
                                  </w:rPr>
                                  <m:t>x</m:t>
                                </m:r>
                                <m:ctrlPr>
                                  <w:rPr>
                                    <w:rFonts w:ascii="Cambria Math" w:hAnsi="Cambria Math"/>
                                    <w:szCs w:val="21"/>
                                  </w:rPr>
                                </m:ctrlPr>
                              </m:e>
                            </m:d>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ctrlPr>
                      <w:rPr>
                        <w:rFonts w:ascii="Cambria Math" w:hAnsi="Cambria Math"/>
                        <w:szCs w:val="21"/>
                      </w:rPr>
                    </m:ctrlPr>
                  </m:e>
                </m:d>
              </m:oMath>
            </m:oMathPara>
          </w:p>
        </w:tc>
        <w:tc>
          <w:tcPr>
            <w:tcW w:w="930" w:type="dxa"/>
            <w:vAlign w:val="center"/>
          </w:tcPr>
          <w:p>
            <w:pPr>
              <w:ind w:firstLine="0" w:firstLineChars="0"/>
              <w:jc w:val="right"/>
            </w:pPr>
            <w:r>
              <w:t>(4-18)</w:t>
            </w:r>
          </w:p>
        </w:tc>
      </w:tr>
    </w:tbl>
    <w:p>
      <w:pPr>
        <w:widowControl/>
        <w:jc w:val="left"/>
        <w:rPr>
          <w:szCs w:val="21"/>
        </w:rPr>
      </w:pPr>
      <w:r>
        <w:rPr>
          <w:szCs w:val="21"/>
        </w:rPr>
        <w:t>式中</w:t>
      </w:r>
      <m:oMath>
        <m:r>
          <m:rPr>
            <m:sty m:val="p"/>
          </m:rPr>
          <w:rPr>
            <w:rFonts w:ascii="Cambria Math" w:hAnsi="Cambria Math"/>
            <w:szCs w:val="21"/>
          </w:rPr>
          <m:t>N</m:t>
        </m:r>
      </m:oMath>
      <w:r>
        <w:rPr>
          <w:szCs w:val="21"/>
        </w:rPr>
        <w:t>=</w:t>
      </w:r>
      <m:oMath>
        <m:d>
          <m:dPr>
            <m:begChr m:val="{"/>
            <m:endChr m:val="}"/>
            <m:ctrlPr>
              <w:rPr>
                <w:rFonts w:ascii="Cambria Math" w:hAnsi="Cambria Math"/>
                <w:i/>
                <w:szCs w:val="21"/>
              </w:rPr>
            </m:ctrlPr>
          </m:dPr>
          <m:e>
            <m:r>
              <m:rPr/>
              <w:rPr>
                <w:rFonts w:ascii="Cambria Math" w:hAnsi="Cambria Math"/>
                <w:szCs w:val="21"/>
              </w:rPr>
              <m:t>1,...,N</m:t>
            </m:r>
            <m:ctrlPr>
              <w:rPr>
                <w:rFonts w:ascii="Cambria Math" w:hAnsi="Cambria Math"/>
                <w:i/>
                <w:szCs w:val="21"/>
              </w:rPr>
            </m:ctrlPr>
          </m:e>
        </m:d>
      </m:oMath>
      <w:r>
        <w:rPr>
          <w:szCs w:val="21"/>
        </w:rPr>
        <w:t>为参与国际贸易的国家主体数，</w:t>
      </w:r>
      <m:oMath>
        <m:r>
          <m:rPr>
            <m:sty m:val="p"/>
          </m:rPr>
          <w:rPr>
            <w:rFonts w:ascii="Cambria Math" w:hAnsi="Cambria Math"/>
            <w:szCs w:val="21"/>
          </w:rPr>
          <m:t>N</m:t>
        </m:r>
      </m:oMath>
      <w:r>
        <w:rPr>
          <w:szCs w:val="21"/>
        </w:rPr>
        <w:t>为有限值；i为国家主体的序号；</w:t>
      </w:r>
      <m:oMath>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ni</m:t>
            </m:r>
            <m:ctrlPr>
              <w:rPr>
                <w:rFonts w:ascii="Cambria Math" w:hAnsi="Cambria Math"/>
                <w:szCs w:val="21"/>
              </w:rPr>
            </m:ctrlPr>
          </m:sup>
        </m:sSup>
      </m:oMath>
      <w:r>
        <w:rPr>
          <w:szCs w:val="21"/>
        </w:rPr>
        <w:t>为第</w:t>
      </w:r>
      <m:oMath>
        <m:r>
          <m:rPr>
            <m:sty m:val="p"/>
          </m:rPr>
          <w:rPr>
            <w:rFonts w:ascii="Cambria Math" w:hAnsi="Cambria Math"/>
            <w:szCs w:val="21"/>
          </w:rPr>
          <m:t>i</m:t>
        </m:r>
      </m:oMath>
      <w:r>
        <w:rPr>
          <w:szCs w:val="21"/>
        </w:rPr>
        <w:t>个国家主体与其它国家主体的国际贸易集合；</w:t>
      </w:r>
      <m:oMath>
        <m:r>
          <m:rPr>
            <m:sty m:val="p"/>
          </m:rPr>
          <w:rPr>
            <w:rFonts w:ascii="Cambria Math" w:hAnsi="Cambria Math"/>
            <w:szCs w:val="21"/>
          </w:rPr>
          <m:t>x=(</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1</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N</m:t>
            </m:r>
            <m:ctrlPr>
              <w:rPr>
                <w:rFonts w:ascii="Cambria Math" w:hAnsi="Cambria Math"/>
                <w:szCs w:val="21"/>
              </w:rPr>
            </m:ctrlPr>
          </m:sub>
        </m:sSub>
        <m:r>
          <m:rPr>
            <m:sty m:val="p"/>
          </m:rPr>
          <w:rPr>
            <w:rFonts w:ascii="Cambria Math" w:hAnsi="Cambria Math"/>
            <w:szCs w:val="21"/>
          </w:rPr>
          <m:t>)∈X=</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m:t>
            </m:r>
            <m:ctrlPr>
              <w:rPr>
                <w:rFonts w:ascii="Cambria Math" w:hAnsi="Cambria Math"/>
                <w:szCs w:val="21"/>
              </w:rPr>
            </m:ctrlPr>
          </m:sup>
        </m:sSup>
        <m:d>
          <m:dPr>
            <m:ctrlPr>
              <w:rPr>
                <w:rFonts w:ascii="Cambria Math" w:hAnsi="Cambria Math"/>
                <w:szCs w:val="21"/>
              </w:rPr>
            </m:ctrlPr>
          </m:dPr>
          <m:e>
            <m:r>
              <m:rPr>
                <m:sty m:val="p"/>
              </m:rPr>
              <w:rPr>
                <w:rFonts w:ascii="Cambria Math" w:hAnsi="Cambria Math"/>
                <w:szCs w:val="21"/>
              </w:rPr>
              <m:t>n=</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n</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ctrlPr>
              <w:rPr>
                <w:rFonts w:ascii="Cambria Math" w:hAnsi="Cambria Math"/>
                <w:szCs w:val="21"/>
              </w:rPr>
            </m:ctrlPr>
          </m:e>
        </m:d>
      </m:oMath>
      <w:r>
        <w:rPr>
          <w:szCs w:val="21"/>
        </w:rPr>
        <w:t>，每个</w:t>
      </w:r>
      <m:oMath>
        <m:r>
          <m:rPr>
            <m:sty m:val="p"/>
          </m:rPr>
          <w:rPr>
            <w:rFonts w:ascii="Cambria Math" w:hAnsi="Cambria Math"/>
            <w:szCs w:val="21"/>
          </w:rPr>
          <m:t>i∈N</m:t>
        </m:r>
      </m:oMath>
      <w:r>
        <w:rPr>
          <w:szCs w:val="21"/>
        </w:rPr>
        <w:t>.为所有国家主体与其它国家主体国际贸易的集合；</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(x)为第i个国家主体与其它国际主体商品交换后获得效用增加，</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(x)&gt;0，任何</w:t>
      </w:r>
      <m:oMath>
        <m:r>
          <m:rPr>
            <m:sty m:val="p"/>
          </m:rPr>
          <w:rPr>
            <w:rFonts w:ascii="Cambria Math" w:hAnsi="Cambria Math"/>
            <w:szCs w:val="21"/>
          </w:rPr>
          <m:t>i</m:t>
        </m:r>
      </m:oMath>
      <w:r>
        <w:rPr>
          <w:szCs w:val="21"/>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w:rPr>
                  <w:rFonts w:ascii="Cambria Math" w:hAnsi="Cambria Math"/>
                  <w:szCs w:val="21"/>
                </w:rPr>
                <m:t>)≦</m:t>
              </m:r>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oMath>
            <w:r>
              <w:rPr>
                <w:szCs w:val="21"/>
              </w:rPr>
              <w:t>(</w:t>
            </w: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oMath>
            <w:r>
              <w:rPr>
                <w:szCs w:val="21"/>
              </w:rPr>
              <w:t>)</w:t>
            </w:r>
          </w:p>
        </w:tc>
        <w:tc>
          <w:tcPr>
            <w:tcW w:w="930" w:type="dxa"/>
            <w:vAlign w:val="center"/>
          </w:tcPr>
          <w:p>
            <w:pPr>
              <w:ind w:firstLine="0" w:firstLineChars="0"/>
              <w:jc w:val="right"/>
            </w:pPr>
            <w:r>
              <w:t>(4-</w:t>
            </w:r>
            <w:r>
              <w:rPr>
                <w:rFonts w:hint="eastAsia"/>
                <w:lang w:val="en-US" w:eastAsia="zh-CN"/>
              </w:rPr>
              <w:t>19</w:t>
            </w:r>
            <w:r>
              <w:t>)</w:t>
            </w:r>
          </w:p>
        </w:tc>
      </w:tr>
    </w:tbl>
    <w:p>
      <w:pPr>
        <w:widowControl/>
        <w:jc w:val="left"/>
        <w:rPr>
          <w:szCs w:val="21"/>
        </w:rPr>
      </w:pP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n</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r>
          <m:rPr>
            <m:sty m:val="p"/>
          </m:rPr>
          <w:rPr>
            <w:rFonts w:ascii="Cambria Math" w:hAnsi="Cambria Math"/>
            <w:szCs w:val="21"/>
          </w:rPr>
          <m:t>∈X</m:t>
        </m:r>
      </m:oMath>
      <w:r>
        <w:rPr>
          <w:szCs w:val="21"/>
        </w:rPr>
        <w:t xml:space="preserve"> 为帕累托优化竞争性均衡的国际贸易。</w:t>
      </w:r>
    </w:p>
    <w:p>
      <w:pPr>
        <w:rPr>
          <w:szCs w:val="21"/>
        </w:rPr>
      </w:pPr>
      <w:r>
        <w:rPr>
          <w:bCs/>
          <w:szCs w:val="21"/>
        </w:rPr>
        <w:t>即</w:t>
      </w:r>
      <w:r>
        <w:rPr>
          <w:szCs w:val="21"/>
        </w:rPr>
        <w:t>式（4-18）表述的以国家为经济主体的自由国际贸易存在式（4-19）表述的帕累托优化竞争性均衡。</w:t>
      </w:r>
    </w:p>
    <w:p>
      <w:pPr>
        <w:widowControl/>
        <w:jc w:val="left"/>
        <w:rPr>
          <w:szCs w:val="21"/>
        </w:rPr>
      </w:pPr>
      <w:r>
        <w:rPr>
          <w:szCs w:val="21"/>
        </w:rPr>
        <w:t>式（4-</w:t>
      </w:r>
      <w:r>
        <w:rPr>
          <w:rFonts w:hint="eastAsia"/>
          <w:szCs w:val="21"/>
          <w:lang w:val="en-US" w:eastAsia="zh-CN"/>
        </w:rPr>
        <w:t>18</w:t>
      </w:r>
      <w:r>
        <w:rPr>
          <w:szCs w:val="21"/>
        </w:rPr>
        <w:t>）表述的是以国家为主体的国际贸易，但现实的国际贸易都在单个经济主体之间进行。本文提出政府通过制定汇率和关税等政策让境内各种微观经济主体利益与国家利益一致。</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r>
                <m:rPr>
                  <m:sty m:val="p"/>
                </m:rPr>
                <w:rPr>
                  <w:rFonts w:ascii="Cambria Math" w:hAnsi="Cambria Math"/>
                  <w:szCs w:val="21"/>
                </w:rPr>
                <m:t>≦</m:t>
              </m:r>
            </m:oMath>
            <w:r>
              <w:rPr>
                <w:szCs w:val="21"/>
              </w:rPr>
              <w:t xml:space="preserve"> </w:t>
            </w:r>
            <m:oMath>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w:p>
        </w:tc>
        <w:tc>
          <w:tcPr>
            <w:tcW w:w="930" w:type="dxa"/>
            <w:vAlign w:val="center"/>
          </w:tcPr>
          <w:p>
            <w:pPr>
              <w:ind w:firstLine="0" w:firstLineChars="0"/>
              <w:jc w:val="right"/>
            </w:pPr>
            <w:r>
              <w:t>(4-2</w:t>
            </w:r>
            <w:r>
              <w:rPr>
                <w:rFonts w:hint="eastAsia"/>
                <w:lang w:val="en-US" w:eastAsia="zh-CN"/>
              </w:rPr>
              <w:t>0</w:t>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 xml:space="preserve"> ≧</m:t>
                </m:r>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m:oMathPara>
          </w:p>
        </w:tc>
        <w:tc>
          <w:tcPr>
            <w:tcW w:w="930" w:type="dxa"/>
            <w:vAlign w:val="center"/>
          </w:tcPr>
          <w:p>
            <w:pPr>
              <w:ind w:firstLine="0" w:firstLineChars="0"/>
              <w:jc w:val="right"/>
            </w:pPr>
            <w:r>
              <w:t>(4-2</w:t>
            </w:r>
            <w:r>
              <w:rPr>
                <w:rFonts w:hint="eastAsia"/>
                <w:lang w:val="en-US" w:eastAsia="zh-CN"/>
              </w:rPr>
              <w:t>1</w:t>
            </w:r>
            <w:r>
              <w:t>)</w:t>
            </w:r>
          </w:p>
        </w:tc>
      </w:tr>
    </w:tbl>
    <w:p>
      <w:pPr>
        <w:widowControl/>
        <w:jc w:val="left"/>
        <w:rPr>
          <w:szCs w:val="21"/>
        </w:rPr>
      </w:pPr>
      <w:r>
        <w:rPr>
          <w:szCs w:val="21"/>
        </w:rPr>
        <w:t>式中</w:t>
      </w: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oMath>
      <w:r>
        <w:rPr>
          <w:szCs w:val="21"/>
        </w:rPr>
        <w:t>为商品i的国内价格，</w:t>
      </w:r>
      <m:oMath>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if</m:t>
            </m:r>
            <m:ctrlPr>
              <w:rPr>
                <w:rFonts w:ascii="Cambria Math" w:hAnsi="Cambria Math"/>
                <w:i/>
                <w:szCs w:val="21"/>
              </w:rPr>
            </m:ctrlPr>
          </m:sub>
        </m:sSub>
      </m:oMath>
      <w:r>
        <w:rPr>
          <w:szCs w:val="21"/>
        </w:rPr>
        <w:t>为商品i的国外价格，E为政府确定的汇率，</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为政府对该商品征收的进口关税，</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为政府对该商品的出口补贴（征收的出口关税则为负），假设运输等其它费用为零。</w:t>
      </w:r>
    </w:p>
    <w:p>
      <w:r>
        <w:t>如果式（4-20）成立，则境内微观经济主体出口商品i将使国家资产效用增加；如果式（4-21）成立，则境内微观经济主体进口商品i将使国家资产效用增加。如果政府禁止出口某种商品，则对该商品征收无穷大出口关税；如果政府禁止进口某种商品，则对该商品征收无穷大进口关税。</w:t>
      </w:r>
    </w:p>
    <w:p>
      <w:r>
        <w:t>这样，政府通过汇率和关税政策让境内单个经济主体利益与国家整体利益一致，把单个经济主体之间的国际贸易转化为以国家为主体的国际贸易。</w:t>
      </w:r>
    </w:p>
    <w:p>
      <w:r>
        <w:t>2. 日常汇率管理</w:t>
      </w:r>
    </w:p>
    <w:p>
      <w:r>
        <w:t>汇率是外汇这个投资品的价格。根据附录1关于投资品价格不存在稳定均衡解的论述，汇率具有天生的不稳定性。但国际贸易需要稳定的汇率，否则进出口企业将承受比较大的汇率波动风险，阻碍国际贸易发展。政府可以通过央行在国际外汇市场公开操作实现本国货币汇率的稳定，具体做法为：政府确定一个汇率使国际贸易保持顺差状态，并保持一定数量的外汇储备。如果贸易顺差下降或外汇储备下降超出正常范围，则以渐变或突变的方式贬值本国货币，以使贸易顺差或外汇储备回到正常范围内。类似地，如果贸易顺差持续上升或外汇储备持续上升超出正常范围，则以渐变或突变的方式升值本国货币，以使贸易顺差或外汇储备回到正常范围内。</w:t>
      </w:r>
    </w:p>
    <w:p>
      <w:pPr>
        <w:pStyle w:val="31"/>
        <w:numPr>
          <w:ilvl w:val="0"/>
          <w:numId w:val="5"/>
        </w:numPr>
        <w:ind w:firstLineChars="0"/>
      </w:pPr>
      <w:r>
        <w:t>自由国际贸易对经济禀赋和通货膨胀临界点的影响</w:t>
      </w:r>
    </w:p>
    <w:p>
      <w:r>
        <w:t>上述自由国际贸易将优化封闭模型经济体的资产结构，促进私人部门产业技术升级，提高经济禀赋，即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&gt;a </w:t>
            </w:r>
          </w:p>
        </w:tc>
        <w:tc>
          <w:tcPr>
            <w:tcW w:w="930" w:type="dxa"/>
            <w:vAlign w:val="center"/>
          </w:tcPr>
          <w:p>
            <w:pPr>
              <w:ind w:firstLine="0" w:firstLineChars="0"/>
              <w:jc w:val="right"/>
            </w:pPr>
            <w:r>
              <w:t>(4-22)</w:t>
            </w:r>
          </w:p>
        </w:tc>
      </w:tr>
    </w:tbl>
    <w:p>
      <w:r>
        <w:rPr>
          <w:szCs w:val="21"/>
        </w:rPr>
        <w:t xml:space="preserve">式中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为实行自由国际贸易后的经济禀赋。</w:t>
      </w:r>
      <w:r>
        <w:t>同样的原因，上述自由国际贸易将提高触发通货膨胀的货币供应量增长率临界点，即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&gt;c </w:t>
            </w:r>
          </w:p>
        </w:tc>
        <w:tc>
          <w:tcPr>
            <w:tcW w:w="930" w:type="dxa"/>
            <w:vAlign w:val="center"/>
          </w:tcPr>
          <w:p>
            <w:pPr>
              <w:ind w:firstLine="0" w:firstLineChars="0"/>
              <w:jc w:val="right"/>
            </w:pPr>
            <w:r>
              <w:t>(4-23)</w:t>
            </w:r>
          </w:p>
        </w:tc>
      </w:tr>
    </w:tbl>
    <w:p>
      <w:r>
        <w:t>式</w:t>
      </w:r>
      <w:r>
        <w:rPr>
          <w:szCs w:val="21"/>
        </w:rPr>
        <w:t>中</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t>为实行自由国际贸易后的触发通货膨胀的货币供应量增长率临界点。</w:t>
      </w:r>
    </w:p>
    <w:p>
      <w:pPr>
        <w:pStyle w:val="31"/>
        <w:numPr>
          <w:ilvl w:val="0"/>
          <w:numId w:val="5"/>
        </w:numPr>
        <w:ind w:firstLineChars="0"/>
      </w:pPr>
      <w:r>
        <w:t>管理私人资本跨境流动是模型赖以存在的前提</w:t>
      </w:r>
    </w:p>
    <w:p>
      <w:r>
        <w:t>前文封闭的模型经济体政府依赖货币发行负债投资和支出，降低私人部门外部成本，实质上是政府给了私人部门补贴。私人部门财富通过跨境资本流动转移到国外将导致国家财富流失，具体形式是导致本国货币贬值，降低本国货币的国际购买力，降低国内居民的实际生活水平。反映到经济禀赋和通货膨胀临界点上，私人部门财富转移到国外将降低国内经济禀赋，降低触发通货膨胀的货币供应量增长率临界点。严重时将让政府管理的市场经济无法实现政府投资和支出与私人部门国际竞争力提高的良性逻辑循环。因此，管理私人资本跨境流动、对外投资和融资是政府管理的市场经济赖以建立和存在的前提条件。</w:t>
      </w:r>
    </w:p>
    <w:p>
      <w:r>
        <w:t>政府管理私人部门跨境资本流动后私人部门财富不能流失到国外，而是流向城市居民住房，使货币供应量的增加更多地导致城市居民住房价格上涨，这是货币数量方程为异质的重要原因之一。</w:t>
      </w:r>
    </w:p>
    <w:p>
      <w:pPr>
        <w:pStyle w:val="31"/>
        <w:numPr>
          <w:ilvl w:val="0"/>
          <w:numId w:val="5"/>
        </w:numPr>
        <w:ind w:firstLineChars="0"/>
        <w:rPr>
          <w:bCs/>
          <w:szCs w:val="21"/>
        </w:rPr>
      </w:pPr>
      <w:r>
        <w:rPr>
          <w:rFonts w:asciiTheme="minorEastAsia" w:hAnsiTheme="minorEastAsia" w:eastAsiaTheme="minorEastAsia" w:cstheme="minorEastAsia"/>
        </w:rPr>
        <w:t>重商主义有一定的</w:t>
      </w:r>
      <w:r>
        <w:rPr>
          <w:rFonts w:hint="eastAsia" w:asciiTheme="minorEastAsia" w:hAnsiTheme="minorEastAsia" w:eastAsiaTheme="minorEastAsia" w:cstheme="minorEastAsia"/>
          <w:lang w:val="en-US" w:eastAsia="zh-CN"/>
        </w:rPr>
        <w:t>合理性</w:t>
      </w:r>
    </w:p>
    <w:p>
      <w:r>
        <w:t>经验是获得知识的重要途径</w:t>
      </w:r>
      <w:r>
        <w:fldChar w:fldCharType="begin"/>
      </w:r>
      <w:r>
        <w:instrText xml:space="preserve"> ADDIN EN.CITE &lt;EndNote&gt;&lt;Cite&gt;&lt;Author&gt;Arrow&lt;/Author&gt;&lt;Year&gt;1971&lt;/Year&gt;&lt;RecNum&gt;943&lt;/RecNum&gt;&lt;DisplayText&gt;(Kenneth Joseph Arrow, 1971)&lt;/DisplayText&gt;&lt;record&gt;&lt;rec-number&gt;943&lt;/rec-number&gt;&lt;foreign-keys&gt;&lt;key app="EN" db-id="dfw50pzpwrep2aeerx4v2xdyaa5vzeftr0xv" timestamp="1674197525"&gt;943&lt;/key&gt;&lt;/foreign-keys&gt;&lt;ref-type name="Book Section"&gt;5&lt;/ref-type&gt;&lt;contributors&gt;&lt;authors&gt;&lt;author&gt;Arrow, Kenneth Joseph&lt;/author&gt;&lt;/authors&gt;&lt;/contributors&gt;&lt;titles&gt;&lt;title&gt;The economic implications of learning by doing&lt;/title&gt;&lt;secondary-title&gt;Readings in the Theory of Growth&lt;/secondary-title&gt;&lt;/titles&gt;&lt;pages&gt;131-149&lt;/pages&gt;&lt;dates&gt;&lt;year&gt;1971&lt;/year&gt;&lt;/dates&gt;&lt;publisher&gt;Springer&lt;/publisher&gt;&lt;urls&gt;&lt;/urls&gt;&lt;/record&gt;&lt;/Cite&gt;&lt;/EndNote&gt;</w:instrText>
      </w:r>
      <w:r>
        <w:fldChar w:fldCharType="separate"/>
      </w:r>
      <w:r>
        <w:t>(Arrow, 1971)</w:t>
      </w:r>
      <w:r>
        <w:fldChar w:fldCharType="end"/>
      </w:r>
      <w:r>
        <w:t>。任何国家的政府都希望保留更多的产业，</w:t>
      </w:r>
      <w:r>
        <w:rPr>
          <w:rFonts w:hint="eastAsia"/>
          <w:lang w:val="en-US" w:eastAsia="zh-CN"/>
        </w:rPr>
        <w:t>因此每个国家</w:t>
      </w:r>
      <w:r>
        <w:t>都希望本国货币汇率比较低，</w:t>
      </w:r>
      <w:r>
        <w:rPr>
          <w:rFonts w:hint="eastAsia"/>
          <w:lang w:val="en-US" w:eastAsia="zh-CN"/>
        </w:rPr>
        <w:t>对</w:t>
      </w:r>
      <w:r>
        <w:t>重要产业</w:t>
      </w:r>
      <w:r>
        <w:rPr>
          <w:rFonts w:hint="eastAsia"/>
          <w:lang w:val="en-US" w:eastAsia="zh-CN"/>
        </w:rPr>
        <w:t>通过</w:t>
      </w:r>
      <w:r>
        <w:t>进口关税</w:t>
      </w:r>
      <w:r>
        <w:rPr>
          <w:rFonts w:hint="eastAsia"/>
          <w:lang w:val="en-US" w:eastAsia="zh-CN"/>
        </w:rPr>
        <w:t>保护国内市场</w:t>
      </w:r>
      <w:r>
        <w:t>，</w:t>
      </w:r>
      <w:r>
        <w:rPr>
          <w:rFonts w:hint="eastAsia"/>
          <w:lang w:val="en-US" w:eastAsia="zh-CN"/>
        </w:rPr>
        <w:t>或实行</w:t>
      </w:r>
      <w:r>
        <w:t>出口补贴</w:t>
      </w:r>
      <w:r>
        <w:rPr>
          <w:rFonts w:hint="eastAsia"/>
          <w:lang w:val="en-US" w:eastAsia="zh-CN"/>
        </w:rPr>
        <w:t>占领更多全球市场</w:t>
      </w:r>
      <w:r>
        <w:t>。这意味着各国的汇率与关税政策是利益冲突的，是国与国之间的非合作博弈</w:t>
      </w:r>
      <w:r>
        <w:rPr>
          <w:rFonts w:hint="eastAsia"/>
          <w:lang w:eastAsia="zh-CN"/>
        </w:rPr>
        <w:t>。</w:t>
      </w:r>
      <w:r>
        <w:t>这意味着重商主义有一定的合理性。</w:t>
      </w:r>
    </w:p>
    <w:p>
      <w:pPr>
        <w:rPr>
          <w:rFonts w:hint="default" w:eastAsia="宋体"/>
          <w:lang w:val="en-US" w:eastAsia="zh-CN"/>
        </w:rPr>
      </w:pPr>
      <w:r>
        <w:rPr>
          <w:rFonts w:hint="eastAsia"/>
          <w:lang w:val="en-US" w:eastAsia="zh-CN"/>
        </w:rPr>
        <w:t>中国发展成为世界产业中心，最重要的原因之一是政府大量投资经济基础设施降低了私人部门企业的外部成本（节省交通时间和费用）和家庭的生活支出（教育医疗费用低等），降低了国内产品的生产成本，提高了其国际竞争力。</w:t>
      </w:r>
    </w:p>
    <w:p>
      <w:r>
        <w:t>国与国之间应该展开国际贸易谈判，在汇率和关税政策上妥协而达成一致，实现共赢。</w:t>
      </w:r>
    </w:p>
    <w:p>
      <w:pPr>
        <w:ind w:left="0" w:leftChars="0" w:firstLine="420" w:firstLineChars="200"/>
        <w:rPr>
          <w:rFonts w:hint="eastAsia"/>
          <w:lang w:val="en-US" w:eastAsia="zh-CN"/>
        </w:rPr>
      </w:pPr>
      <w:r>
        <w:t>（六）</w:t>
      </w:r>
      <w:r>
        <w:rPr>
          <w:rFonts w:hint="eastAsia"/>
          <w:lang w:val="en-US" w:eastAsia="zh-CN"/>
        </w:rPr>
        <w:t>一个新的经济理论框架</w:t>
      </w:r>
    </w:p>
    <w:p>
      <w:pPr>
        <w:ind w:left="0" w:leftChars="0" w:firstLine="420" w:firstLineChars="200"/>
        <w:rPr>
          <w:rFonts w:hint="default"/>
          <w:lang w:eastAsia="zh-CN"/>
        </w:rPr>
      </w:pPr>
      <w:r>
        <w:rPr>
          <w:rFonts w:hint="default"/>
          <w:lang w:eastAsia="zh-CN"/>
        </w:rPr>
        <w:t>本文</w:t>
      </w:r>
      <w:r>
        <w:rPr>
          <w:rFonts w:hint="eastAsia"/>
          <w:lang w:val="en-US" w:eastAsia="zh-CN"/>
        </w:rPr>
        <w:t>模型与新古典和凯恩斯学派各类模型关于市场经济的基本规律假设不同，</w:t>
      </w:r>
      <w:r>
        <w:rPr>
          <w:rFonts w:hint="default"/>
          <w:lang w:eastAsia="zh-CN"/>
        </w:rPr>
        <w:t>关于</w:t>
      </w:r>
      <w:r>
        <w:rPr>
          <w:rFonts w:hint="eastAsia"/>
          <w:lang w:val="en-US" w:eastAsia="zh-CN"/>
        </w:rPr>
        <w:t>经济变量关系曲线</w:t>
      </w:r>
      <w:r>
        <w:rPr>
          <w:rFonts w:hint="default"/>
          <w:lang w:eastAsia="zh-CN"/>
        </w:rPr>
        <w:t>的假设不同</w:t>
      </w:r>
      <w:r>
        <w:rPr>
          <w:rFonts w:hint="eastAsia"/>
          <w:lang w:val="en-US" w:eastAsia="zh-CN"/>
        </w:rPr>
        <w:t>，形成不同的经济理论框架。</w:t>
      </w:r>
    </w:p>
    <w:p>
      <w:r>
        <w:t xml:space="preserve">1. </w:t>
      </w:r>
      <w:r>
        <w:rPr>
          <w:rFonts w:hint="eastAsia"/>
          <w:lang w:val="en-US" w:eastAsia="zh-CN"/>
        </w:rPr>
        <w:t>不同的基本规律假设和经济变量关系曲线假设</w:t>
      </w:r>
    </w:p>
    <w:p>
      <w:pPr>
        <w:rPr>
          <w:rFonts w:hint="eastAsia" w:asciiTheme="minorEastAsia" w:hAnsiTheme="minorEastAsia" w:eastAsiaTheme="minorEastAsia" w:cstheme="minorEastAsia"/>
          <w:szCs w:val="21"/>
          <w:lang w:val="en-US" w:eastAsia="zh-CN"/>
        </w:rPr>
      </w:pPr>
      <w:r>
        <w:t>新古典学派认为没有政府干预的自由市场经济能自身实现竞争性均衡</w:t>
      </w:r>
      <w:r>
        <w:rPr>
          <w:rFonts w:hint="eastAsia"/>
          <w:lang w:eastAsia="zh-CN"/>
        </w:rPr>
        <w:t>（</w:t>
      </w:r>
      <w:r>
        <w:t>一般均衡</w:t>
      </w:r>
      <w:r>
        <w:rPr>
          <w:rFonts w:hint="eastAsia"/>
          <w:lang w:eastAsia="zh-CN"/>
        </w:rPr>
        <w:t>）</w:t>
      </w:r>
      <w:r>
        <w:rPr>
          <w:rFonts w:hint="default"/>
          <w:lang w:eastAsia="zh-CN"/>
        </w:rPr>
        <w:t>，这是新古典学派关于市场经济的基本规律假设</w:t>
      </w:r>
      <w:r>
        <w:rPr>
          <w:rFonts w:hint="eastAsia"/>
          <w:lang w:eastAsia="zh-CN"/>
        </w:rPr>
        <w:t>。</w:t>
      </w:r>
      <w:r>
        <w:rPr>
          <w:rFonts w:hint="eastAsia"/>
          <w:lang w:val="en-US" w:eastAsia="zh-CN"/>
        </w:rPr>
        <w:t>索洛模型</w:t>
      </w:r>
      <w:r>
        <w:rPr>
          <w:rFonts w:hint="default"/>
          <w:lang w:eastAsia="zh-CN"/>
        </w:rPr>
        <w:t>认为</w:t>
      </w:r>
      <w:r>
        <w:rPr>
          <w:rFonts w:hint="eastAsia" w:asciiTheme="minorEastAsia" w:hAnsiTheme="minorEastAsia" w:eastAsiaTheme="minorEastAsia" w:cstheme="minorEastAsia"/>
          <w:szCs w:val="21"/>
        </w:rPr>
        <w:t>劳动力与资本积累比例</w:t>
      </w:r>
      <w:r>
        <w:rPr>
          <w:rFonts w:hint="eastAsia" w:asciiTheme="minorEastAsia" w:hAnsiTheme="minorEastAsia" w:eastAsiaTheme="minorEastAsia" w:cstheme="minorEastAsia"/>
          <w:szCs w:val="21"/>
          <w:lang w:val="en-US" w:eastAsia="zh-CN"/>
        </w:rPr>
        <w:t>r与时间的关系曲线</w:t>
      </w:r>
      <w:r>
        <w:rPr>
          <w:rFonts w:hint="eastAsia" w:asciiTheme="minorEastAsia" w:hAnsiTheme="minorEastAsia" w:eastAsiaTheme="minorEastAsia" w:cstheme="minorEastAsia"/>
          <w:szCs w:val="21"/>
        </w:rPr>
        <w:t>经过短期震荡后中长期将实现稳定均衡，达到最优值，实现劳动力和资本积累全利用</w:t>
      </w:r>
      <w:r>
        <w:rPr>
          <w:rFonts w:hint="default" w:asciiTheme="minorEastAsia" w:hAnsiTheme="minorEastAsia" w:eastAsiaTheme="minorEastAsia" w:cstheme="minorEastAsia"/>
          <w:szCs w:val="21"/>
        </w:rPr>
        <w:t>，这是新古典学派关于经济变量关系曲线的假设</w:t>
      </w:r>
      <w:r>
        <w:rPr>
          <w:rFonts w:hint="eastAsia" w:asciiTheme="minorEastAsia" w:hAnsiTheme="minorEastAsia" w:eastAsiaTheme="minorEastAsia" w:cstheme="minorEastAsia"/>
          <w:szCs w:val="21"/>
        </w:rPr>
        <w:t>。</w:t>
      </w:r>
      <w:r>
        <w:rPr>
          <w:rFonts w:hint="default" w:asciiTheme="minorEastAsia" w:hAnsiTheme="minorEastAsia" w:eastAsiaTheme="minorEastAsia" w:cstheme="minorEastAsia"/>
          <w:szCs w:val="21"/>
        </w:rPr>
        <w:t>基于这两种假设，</w:t>
      </w:r>
      <w:r>
        <w:rPr>
          <w:rFonts w:hint="eastAsia" w:asciiTheme="minorEastAsia" w:hAnsiTheme="minorEastAsia" w:eastAsiaTheme="minorEastAsia" w:cstheme="minorEastAsia"/>
          <w:szCs w:val="21"/>
          <w:lang w:val="en-US" w:eastAsia="zh-CN"/>
        </w:rPr>
        <w:t>新古典</w:t>
      </w:r>
      <w:r>
        <w:rPr>
          <w:rFonts w:hint="default" w:asciiTheme="minorEastAsia" w:hAnsiTheme="minorEastAsia" w:eastAsiaTheme="minorEastAsia" w:cstheme="minorEastAsia"/>
          <w:szCs w:val="21"/>
          <w:lang w:eastAsia="zh-CN"/>
        </w:rPr>
        <w:t>学派</w:t>
      </w:r>
      <w:r>
        <w:rPr>
          <w:rFonts w:hint="eastAsia" w:asciiTheme="minorEastAsia" w:hAnsiTheme="minorEastAsia" w:eastAsiaTheme="minorEastAsia" w:cstheme="minorEastAsia"/>
          <w:szCs w:val="21"/>
          <w:lang w:val="en-US" w:eastAsia="zh-CN"/>
        </w:rPr>
        <w:t>主张政府</w:t>
      </w:r>
      <w:r>
        <w:rPr>
          <w:rFonts w:hint="default" w:asciiTheme="minorEastAsia" w:hAnsiTheme="minorEastAsia" w:eastAsiaTheme="minorEastAsia" w:cstheme="minorEastAsia"/>
          <w:szCs w:val="21"/>
          <w:lang w:eastAsia="zh-CN"/>
        </w:rPr>
        <w:t>不</w:t>
      </w:r>
      <w:r>
        <w:rPr>
          <w:rFonts w:hint="eastAsia" w:asciiTheme="minorEastAsia" w:hAnsiTheme="minorEastAsia" w:eastAsiaTheme="minorEastAsia" w:cstheme="minorEastAsia"/>
          <w:szCs w:val="21"/>
          <w:lang w:val="en-US" w:eastAsia="zh-CN"/>
        </w:rPr>
        <w:t>干预市场经济。</w:t>
      </w:r>
    </w:p>
    <w:p>
      <w:pPr>
        <w:rPr>
          <w:rFonts w:hint="eastAsia"/>
          <w:lang w:val="en-US" w:eastAsia="zh-CN"/>
        </w:rPr>
      </w:pPr>
      <w:r>
        <w:rPr>
          <w:rFonts w:hint="eastAsia" w:asciiTheme="minorEastAsia" w:hAnsiTheme="minorEastAsia" w:eastAsiaTheme="minorEastAsia" w:cstheme="minorEastAsia"/>
          <w:lang w:val="en-US" w:eastAsia="zh-CN"/>
        </w:rPr>
        <w:t>凯恩斯学派认为政府支出和货币政策能使市场经济实现最优解</w:t>
      </w:r>
      <w:r>
        <w:rPr>
          <w:rFonts w:hint="default" w:asciiTheme="minorEastAsia" w:hAnsiTheme="minorEastAsia" w:eastAsiaTheme="minorEastAsia" w:cstheme="minorEastAsia"/>
          <w:lang w:eastAsia="zh-CN"/>
        </w:rPr>
        <w:t>，这是凯恩斯主义关于市场经济的基本规律假设。</w:t>
      </w:r>
      <w:r>
        <w:rPr>
          <w:rFonts w:hint="eastAsia" w:asciiTheme="minorEastAsia" w:hAnsiTheme="minorEastAsia" w:eastAsiaTheme="minorEastAsia" w:cstheme="minorEastAsia"/>
        </w:rPr>
        <w:t>希克斯IS-LM</w:t>
      </w:r>
      <w:r>
        <w:rPr>
          <w:rFonts w:hint="default" w:asciiTheme="minorEastAsia" w:hAnsiTheme="minorEastAsia" w:eastAsiaTheme="minorEastAsia" w:cstheme="minorEastAsia"/>
        </w:rPr>
        <w:t>两条</w:t>
      </w:r>
      <w:r>
        <w:rPr>
          <w:rFonts w:hint="eastAsia" w:asciiTheme="minorEastAsia" w:hAnsiTheme="minorEastAsia" w:eastAsiaTheme="minorEastAsia" w:cstheme="minorEastAsia"/>
          <w:lang w:val="en-US" w:eastAsia="zh-CN"/>
        </w:rPr>
        <w:t>曲线</w:t>
      </w:r>
      <w:r>
        <w:rPr>
          <w:rFonts w:hint="eastAsia" w:asciiTheme="minorEastAsia" w:hAnsiTheme="minorEastAsia" w:eastAsiaTheme="minorEastAsia" w:cstheme="minorEastAsia"/>
        </w:rPr>
        <w:t>的交叉点是均衡利率点，均衡利率点</w:t>
      </w:r>
      <w:r>
        <w:rPr>
          <w:rFonts w:hint="eastAsia" w:asciiTheme="minorEastAsia" w:hAnsiTheme="minorEastAsia" w:eastAsiaTheme="minorEastAsia" w:cstheme="minorEastAsia"/>
          <w:lang w:val="en-US" w:eastAsia="zh-CN"/>
        </w:rPr>
        <w:t>对应</w:t>
      </w:r>
      <w:r>
        <w:rPr>
          <w:rFonts w:hint="eastAsia" w:asciiTheme="minorEastAsia" w:hAnsiTheme="minorEastAsia" w:eastAsiaTheme="minorEastAsia" w:cstheme="minorEastAsia"/>
        </w:rPr>
        <w:t>均衡社会产出</w:t>
      </w:r>
      <w:r>
        <w:rPr>
          <w:rFonts w:hint="default" w:asciiTheme="minorEastAsia" w:hAnsiTheme="minorEastAsia" w:eastAsiaTheme="minorEastAsia" w:cstheme="minorEastAsia"/>
        </w:rPr>
        <w:t>，这是凯恩斯学派关于经济变量关系曲线的假设</w:t>
      </w:r>
      <w:r>
        <w:rPr>
          <w:rFonts w:hint="eastAsia"/>
          <w:lang w:val="en-US" w:eastAsia="zh-CN"/>
        </w:rPr>
        <w:t>。凯恩斯学派的政策目标是找到最佳的政府投资和支出。</w:t>
      </w:r>
    </w:p>
    <w:p>
      <w:pPr>
        <w:rPr>
          <w:rFonts w:hint="default" w:asciiTheme="minorEastAsia" w:hAnsiTheme="minorEastAsia" w:eastAsiaTheme="minorEastAsia" w:cstheme="minorEastAsia"/>
        </w:rPr>
      </w:pPr>
      <w:r>
        <w:rPr>
          <w:rFonts w:hint="default"/>
          <w:lang w:eastAsia="zh-CN"/>
        </w:rPr>
        <w:t>本文第三节阐述了关于市场经济的三个互相独立的基本规律假设，</w:t>
      </w:r>
      <w:r>
        <w:rPr>
          <w:rFonts w:hint="eastAsia"/>
          <w:lang w:val="en-US" w:eastAsia="zh-CN"/>
        </w:rPr>
        <w:t>图4-2</w:t>
      </w:r>
      <w:r>
        <w:rPr>
          <w:rFonts w:hint="default"/>
          <w:lang w:eastAsia="zh-CN"/>
        </w:rPr>
        <w:t>中三条经济变量关系曲线的特性是本文关于经济变量关系曲线的假设。本文主张的政府政策包括货币发行财政</w:t>
      </w:r>
      <w:r>
        <w:rPr>
          <w:rFonts w:hint="eastAsia" w:ascii="微软雅黑" w:hAnsi="微软雅黑" w:eastAsia="微软雅黑" w:cs="微软雅黑"/>
          <w:lang w:eastAsia="zh-CN"/>
        </w:rPr>
        <w:t>、</w:t>
      </w:r>
      <w:r>
        <w:rPr>
          <w:rFonts w:hint="default"/>
          <w:lang w:eastAsia="zh-CN"/>
        </w:rPr>
        <w:t>管理私人部门跨境资本流动</w:t>
      </w:r>
      <w:r>
        <w:rPr>
          <w:rFonts w:hint="eastAsia" w:ascii="微软雅黑" w:hAnsi="微软雅黑" w:eastAsia="微软雅黑" w:cs="微软雅黑"/>
          <w:lang w:eastAsia="zh-CN"/>
        </w:rPr>
        <w:t>、</w:t>
      </w:r>
      <w:r>
        <w:rPr>
          <w:rFonts w:hint="default"/>
          <w:lang w:eastAsia="zh-CN"/>
        </w:rPr>
        <w:t>优化货币政策与财政政策的关系</w:t>
      </w:r>
      <w:r>
        <w:rPr>
          <w:rFonts w:hint="eastAsia" w:ascii="微软雅黑" w:hAnsi="微软雅黑" w:eastAsia="微软雅黑" w:cs="微软雅黑"/>
          <w:lang w:eastAsia="zh-CN"/>
        </w:rPr>
        <w:t>、</w:t>
      </w:r>
      <w:r>
        <w:rPr>
          <w:rFonts w:hint="default"/>
          <w:lang w:eastAsia="zh-CN"/>
        </w:rPr>
        <w:t>优化政府投资和支出具体项目</w:t>
      </w:r>
      <w:r>
        <w:rPr>
          <w:rFonts w:hint="eastAsia" w:ascii="微软雅黑" w:hAnsi="微软雅黑" w:eastAsia="微软雅黑" w:cs="微软雅黑"/>
          <w:lang w:eastAsia="zh-CN"/>
        </w:rPr>
        <w:t>、</w:t>
      </w:r>
      <w:r>
        <w:rPr>
          <w:rFonts w:hint="default"/>
          <w:lang w:eastAsia="zh-CN"/>
        </w:rPr>
        <w:t>优化市场竞争激励机制促进各经济主体努力增加资本积累</w:t>
      </w:r>
      <w:r>
        <w:rPr>
          <w:rFonts w:hint="eastAsia"/>
          <w:lang w:val="en-US" w:eastAsia="zh-CN"/>
        </w:rPr>
        <w:t>等</w:t>
      </w:r>
      <w:r>
        <w:rPr>
          <w:rFonts w:hint="default"/>
          <w:lang w:eastAsia="zh-CN"/>
        </w:rPr>
        <w:t>，最后</w:t>
      </w:r>
      <w:r>
        <w:rPr>
          <w:rFonts w:hint="eastAsia"/>
          <w:lang w:val="en-US" w:eastAsia="zh-CN"/>
        </w:rPr>
        <w:t>在</w:t>
      </w:r>
      <w:r>
        <w:rPr>
          <w:rFonts w:hint="eastAsia" w:asciiTheme="minorEastAsia" w:hAnsiTheme="minorEastAsia" w:eastAsiaTheme="minorEastAsia" w:cstheme="minorEastAsia"/>
        </w:rPr>
        <w:t>保证通货膨胀率</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rPr>
        <w:t>政策目标的条件下</w:t>
      </w:r>
      <w:r>
        <w:rPr>
          <w:rFonts w:hint="default" w:asciiTheme="minorEastAsia" w:hAnsiTheme="minorEastAsia" w:eastAsiaTheme="minorEastAsia" w:cstheme="minorEastAsia"/>
        </w:rPr>
        <w:t>使社会需求最大，实现模型经济体长期可持续</w:t>
      </w:r>
      <w:r>
        <w:rPr>
          <w:rFonts w:hint="eastAsia" w:asciiTheme="minorEastAsia" w:hAnsiTheme="minorEastAsia" w:eastAsiaTheme="minorEastAsia" w:cstheme="minorEastAsia"/>
          <w:lang w:val="en-US" w:eastAsia="zh-CN"/>
        </w:rPr>
        <w:t>稳定</w:t>
      </w:r>
      <w:r>
        <w:rPr>
          <w:rFonts w:hint="default" w:asciiTheme="minorEastAsia" w:hAnsiTheme="minorEastAsia" w:eastAsiaTheme="minorEastAsia" w:cstheme="minorEastAsia"/>
        </w:rPr>
        <w:t>高质量发展。</w:t>
      </w:r>
    </w:p>
    <w:p>
      <w:pPr>
        <w:numPr>
          <w:ilvl w:val="0"/>
          <w:numId w:val="6"/>
        </w:numPr>
        <w:rPr>
          <w:rFonts w:hint="default"/>
          <w:lang w:val="en-US" w:eastAsia="zh-CN"/>
        </w:rPr>
      </w:pPr>
      <w:r>
        <w:rPr>
          <w:rFonts w:hint="default" w:asciiTheme="minorEastAsia" w:hAnsiTheme="minorEastAsia" w:eastAsiaTheme="minorEastAsia" w:cstheme="minorEastAsia"/>
        </w:rPr>
        <w:t>依法用虚拟的货币体系管理市场经济</w:t>
      </w:r>
    </w:p>
    <w:p>
      <w:pPr>
        <w:numPr>
          <w:ilvl w:val="0"/>
          <w:numId w:val="0"/>
        </w:numPr>
        <w:rPr>
          <w:rFonts w:hint="default" w:asciiTheme="minorEastAsia" w:hAnsiTheme="minorEastAsia" w:eastAsiaTheme="minorEastAsia" w:cstheme="minorEastAsia"/>
        </w:rPr>
      </w:pPr>
      <w:r>
        <w:rPr>
          <w:rFonts w:hint="default" w:asciiTheme="minorEastAsia" w:hAnsiTheme="minorEastAsia" w:eastAsiaTheme="minorEastAsia" w:cstheme="minorEastAsia"/>
        </w:rPr>
        <w:t xml:space="preserve">    政府依法用虚拟的货币体系管理市场经济。政府通过货币政策优化私人部门投资和消费与政府部门投资和支出的关系</w:t>
      </w:r>
      <w:r>
        <w:rPr>
          <w:rFonts w:hint="eastAsia" w:asciiTheme="minorEastAsia" w:hAnsiTheme="minorEastAsia" w:eastAsiaTheme="minorEastAsia" w:cstheme="minorEastAsia"/>
          <w:lang w:eastAsia="zh-CN"/>
        </w:rPr>
        <w:t>，</w:t>
      </w:r>
      <w:r>
        <w:rPr>
          <w:rFonts w:hint="default" w:asciiTheme="minorEastAsia" w:hAnsiTheme="minorEastAsia" w:eastAsiaTheme="minorEastAsia" w:cstheme="minorEastAsia"/>
        </w:rPr>
        <w:t>在保证通货膨胀率符合政策目标的前提条件下通过</w:t>
      </w:r>
      <w:r>
        <w:rPr>
          <w:rFonts w:hint="eastAsia" w:asciiTheme="minorEastAsia" w:hAnsiTheme="minorEastAsia" w:eastAsiaTheme="minorEastAsia" w:cstheme="minorEastAsia"/>
        </w:rPr>
        <w:t>政府投资</w:t>
      </w:r>
      <w:r>
        <w:rPr>
          <w:rFonts w:hint="default" w:asciiTheme="minorEastAsia" w:hAnsiTheme="minorEastAsia" w:eastAsiaTheme="minorEastAsia" w:cstheme="minorEastAsia"/>
        </w:rPr>
        <w:t>和</w:t>
      </w:r>
      <w:r>
        <w:rPr>
          <w:rFonts w:hint="eastAsia" w:asciiTheme="minorEastAsia" w:hAnsiTheme="minorEastAsia" w:eastAsiaTheme="minorEastAsia" w:cstheme="minorEastAsia"/>
        </w:rPr>
        <w:t>支出</w:t>
      </w:r>
      <w:r>
        <w:rPr>
          <w:rFonts w:hint="default" w:asciiTheme="minorEastAsia" w:hAnsiTheme="minorEastAsia" w:eastAsiaTheme="minorEastAsia" w:cstheme="minorEastAsia"/>
        </w:rPr>
        <w:t>实现社会需求最大。</w:t>
      </w:r>
    </w:p>
    <w:p>
      <w:pPr>
        <w:numPr>
          <w:ilvl w:val="0"/>
          <w:numId w:val="0"/>
        </w:numPr>
        <w:rPr>
          <w:rFonts w:hint="default" w:asciiTheme="minorEastAsia" w:hAnsiTheme="minorEastAsia" w:eastAsiaTheme="minorEastAsia" w:cstheme="minorEastAsia"/>
        </w:rPr>
      </w:pPr>
      <w:r>
        <w:rPr>
          <w:rFonts w:hint="default" w:asciiTheme="minorEastAsia" w:hAnsiTheme="minorEastAsia" w:eastAsiaTheme="minorEastAsia" w:cstheme="minorEastAsia"/>
        </w:rPr>
        <w:t xml:space="preserve">     政府货币供应量增长需伴随经济体禀赋增加即社会生产力水平提高，否则将导致通货膨胀。货币供应量持续增长将带来大城市住房价格持续上涨。模型经济体可免于金融危机。</w:t>
      </w:r>
    </w:p>
    <w:p>
      <w:pPr>
        <w:numPr>
          <w:ilvl w:val="0"/>
          <w:numId w:val="6"/>
        </w:numPr>
        <w:ind w:left="0" w:leftChars="0"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优化政府投资和支出项目</w:t>
      </w:r>
    </w:p>
    <w:p>
      <w:pPr>
        <w:numPr>
          <w:ilvl w:val="0"/>
          <w:numId w:val="0"/>
        </w:numPr>
        <w:ind w:left="0" w:leftChars="0" w:firstLine="0" w:firstLineChars="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 xml:space="preserve">    政府投资和支出项目应该效率和公平兼顾</w:t>
      </w:r>
      <w:r>
        <w:rPr>
          <w:rFonts w:hint="eastAsia" w:asciiTheme="minorEastAsia" w:hAnsiTheme="minorEastAsia" w:eastAsiaTheme="minorEastAsia" w:cstheme="minorEastAsia"/>
          <w:lang w:eastAsia="zh-CN"/>
        </w:rPr>
        <w:t>，</w:t>
      </w:r>
      <w:r>
        <w:rPr>
          <w:rFonts w:hint="default" w:asciiTheme="minorEastAsia" w:hAnsiTheme="minorEastAsia" w:eastAsiaTheme="minorEastAsia" w:cstheme="minorEastAsia"/>
          <w:lang w:eastAsia="zh-CN"/>
        </w:rPr>
        <w:t>效率保证经济长期可持续高质量发展，公平实现政府独特的价值主张。通过货币政策、政府投资和支出财政政策可以最大程度平滑经济波动，最大程度挖掘经济增长潜力，实现经济体长期可持续稳定高质量发展。</w:t>
      </w:r>
    </w:p>
    <w:p>
      <w:pPr>
        <w:numPr>
          <w:ilvl w:val="0"/>
          <w:numId w:val="6"/>
        </w:numPr>
        <w:ind w:left="0" w:leftChars="0" w:firstLine="420" w:firstLineChars="200"/>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管理私人部门资本跨境流动</w:t>
      </w:r>
    </w:p>
    <w:p>
      <w:pPr>
        <w:numPr>
          <w:ilvl w:val="0"/>
          <w:numId w:val="0"/>
        </w:numPr>
        <w:ind w:left="0" w:leftChars="0" w:firstLine="0" w:firstLineChars="0"/>
      </w:pPr>
      <w:r>
        <w:t xml:space="preserve">    管理私人部门资本跨境流动、对外投资和融资，保证经济体财富不流失到国外，这是模型经济体赖以建立和存在的前提。</w:t>
      </w:r>
    </w:p>
    <w:p>
      <w:pPr>
        <w:numPr>
          <w:ilvl w:val="0"/>
          <w:numId w:val="6"/>
        </w:numPr>
        <w:ind w:left="0" w:leftChars="0" w:firstLine="420" w:firstLineChars="200"/>
        <w:rPr>
          <w:rFonts w:hint="default"/>
        </w:rPr>
      </w:pPr>
      <w:r>
        <w:rPr>
          <w:rFonts w:hint="default"/>
        </w:rPr>
        <w:t>优化各种市场竞争制度</w:t>
      </w:r>
    </w:p>
    <w:p>
      <w:pPr>
        <w:numPr>
          <w:ilvl w:val="0"/>
          <w:numId w:val="0"/>
        </w:numPr>
        <w:ind w:left="0" w:leftChars="0" w:firstLine="0" w:firstLineChars="0"/>
        <w:rPr>
          <w:rFonts w:hint="default"/>
        </w:rPr>
      </w:pPr>
      <w:r>
        <w:rPr>
          <w:rFonts w:hint="default"/>
        </w:rPr>
        <w:t xml:space="preserve">    附录2关于商品生产竞争的讨论表明，市场竞争归根到底是知识的竞争，知识是每个经济主体的内生变量。政府应该优化各种市场竞争制度，如高等教育入学考试制度</w:t>
      </w:r>
      <w:r>
        <w:rPr>
          <w:rFonts w:hint="eastAsia" w:ascii="微软雅黑" w:hAnsi="微软雅黑" w:eastAsia="微软雅黑" w:cs="微软雅黑"/>
        </w:rPr>
        <w:t>、</w:t>
      </w:r>
      <w:r>
        <w:rPr>
          <w:rFonts w:hint="eastAsia"/>
          <w:lang w:val="en-US" w:eastAsia="zh-CN"/>
        </w:rPr>
        <w:t>各种体制企业公平竞争制度</w:t>
      </w:r>
      <w:r>
        <w:rPr>
          <w:rFonts w:hint="eastAsia" w:ascii="微软雅黑" w:hAnsi="微软雅黑" w:eastAsia="微软雅黑" w:cs="微软雅黑"/>
          <w:lang w:val="en-US" w:eastAsia="zh-CN"/>
        </w:rPr>
        <w:t>、</w:t>
      </w:r>
      <w:r>
        <w:rPr>
          <w:rFonts w:hint="default"/>
        </w:rPr>
        <w:t>政府部门招聘制度</w:t>
      </w:r>
      <w:r>
        <w:rPr>
          <w:rFonts w:hint="eastAsia" w:ascii="微软雅黑" w:hAnsi="微软雅黑" w:eastAsia="微软雅黑" w:cs="微软雅黑"/>
        </w:rPr>
        <w:t>、</w:t>
      </w:r>
      <w:r>
        <w:rPr>
          <w:rFonts w:hint="default"/>
        </w:rPr>
        <w:t>科学与技术研究考核制度等，激励各经济主体努力提高自身的资本积累，实现经济体禀赋长期可持续</w:t>
      </w:r>
      <w:r>
        <w:rPr>
          <w:rFonts w:hint="eastAsia"/>
          <w:lang w:val="en-US" w:eastAsia="zh-CN"/>
        </w:rPr>
        <w:t>稳定</w:t>
      </w:r>
      <w:r>
        <w:rPr>
          <w:rFonts w:hint="default"/>
        </w:rPr>
        <w:t>高质量增长。</w:t>
      </w:r>
    </w:p>
    <w:p>
      <w:pPr>
        <w:numPr>
          <w:ilvl w:val="0"/>
          <w:numId w:val="0"/>
        </w:numPr>
        <w:ind w:left="0" w:leftChars="0" w:firstLine="0" w:firstLineChars="0"/>
        <w:rPr>
          <w:rFonts w:hint="default"/>
        </w:rPr>
      </w:pPr>
      <w:r>
        <w:rPr>
          <w:rFonts w:hint="default"/>
        </w:rPr>
        <w:t xml:space="preserve">    中国高考是最成功的市场竞争制度之一，深刻影响每个大学教育前的人口，激励其投资自身的知识，提高经济体人口知识积累</w:t>
      </w:r>
      <w:r>
        <w:rPr>
          <w:bCs/>
          <w:szCs w:val="21"/>
        </w:rPr>
        <w:t>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r>
        <w:rPr>
          <w:rFonts w:hint="default"/>
        </w:rPr>
        <w:t>。</w:t>
      </w:r>
      <w:r>
        <w:rPr>
          <w:rFonts w:hint="default" w:asciiTheme="minorEastAsia" w:hAnsiTheme="minorEastAsia" w:eastAsiaTheme="minorEastAsia" w:cstheme="minorEastAsia"/>
        </w:rPr>
        <w:t>中国过去四十多年来经济和科研取得巨大成就，恢复高考制度是不可或缺的环节之一。</w:t>
      </w:r>
    </w:p>
    <w:p>
      <w:pPr>
        <w:numPr>
          <w:ilvl w:val="0"/>
          <w:numId w:val="6"/>
        </w:numPr>
        <w:ind w:left="0" w:leftChars="0" w:firstLine="420" w:firstLineChars="200"/>
        <w:rPr>
          <w:rFonts w:hint="default"/>
        </w:rPr>
      </w:pPr>
      <w:r>
        <w:rPr>
          <w:rFonts w:hint="default"/>
        </w:rPr>
        <w:t>有为政府与有效政府</w:t>
      </w:r>
    </w:p>
    <w:p>
      <w:pPr>
        <w:rPr>
          <w:rFonts w:hint="default" w:asciiTheme="minorEastAsia" w:hAnsiTheme="minorEastAsia" w:eastAsiaTheme="minorEastAsia" w:cstheme="minorEastAsia"/>
        </w:rPr>
      </w:pPr>
      <w:r>
        <w:t>政府与市场的关系，有为政府和有效政府等问题国内众多经济学家有论述</w: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bHM+PC9yZWNvcmQ+PC9DaXRlPjwvRW5kTm90ZT5AAA==
</w:fldData>
        </w:fldChar>
      </w:r>
      <w:r>
        <w:instrText xml:space="preserve"> ADDIN EN.CITE </w:instrTex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bHM+PC9yZWNvcmQ+PC9DaXRlPjwvRW5kTm90ZT5AAA==
</w:fldData>
        </w:fldChar>
      </w:r>
      <w:r>
        <w:instrText xml:space="preserve"> ADDIN EN.CITE.DATA </w:instrText>
      </w:r>
      <w:r>
        <w:fldChar w:fldCharType="end"/>
      </w:r>
      <w:r>
        <w:fldChar w:fldCharType="separate"/>
      </w:r>
      <w:r>
        <w:t>(林毅夫, 2011, 2014; 田国强, 2016, 2017)</w:t>
      </w:r>
      <w:r>
        <w:fldChar w:fldCharType="end"/>
      </w:r>
      <w:r>
        <w:t>。本文前述五点就是实现有为政府和有效政府的五个方面。</w:t>
      </w:r>
      <w:r>
        <w:rPr>
          <w:bCs/>
          <w:szCs w:val="21"/>
        </w:rPr>
        <w:t xml:space="preserve"> </w:t>
      </w:r>
    </w:p>
    <w:p>
      <w:pPr>
        <w:ind w:left="0" w:leftChars="0" w:firstLine="0" w:firstLineChars="0"/>
      </w:pPr>
    </w:p>
    <w:p>
      <w:pPr>
        <w:pStyle w:val="2"/>
      </w:pPr>
      <w:r>
        <w:rPr>
          <w:rFonts w:hint="eastAsia"/>
        </w:rPr>
        <w:t>五、模型对若干重要经济现实的解释</w:t>
      </w:r>
    </w:p>
    <w:p>
      <w:pPr>
        <w:rPr>
          <w:szCs w:val="21"/>
        </w:rPr>
      </w:pPr>
      <w:r>
        <w:rPr>
          <w:rFonts w:hint="eastAsia" w:asciiTheme="minorEastAsia" w:hAnsiTheme="minorEastAsia" w:eastAsiaTheme="minorEastAsia" w:cstheme="minorEastAsia"/>
          <w:szCs w:val="21"/>
        </w:rPr>
        <w:t>经</w:t>
      </w:r>
      <w:r>
        <w:rPr>
          <w:szCs w:val="21"/>
        </w:rPr>
        <w:t>济理论是人们为分析和解释经济发展规律而主观构建的逻辑体系。不同的经济理论学派关于市场经济有不同的基本规律假设，对经济活动有不同的解释视角，下面是本文对若干重要经济现实的解释。</w:t>
      </w:r>
    </w:p>
    <w:p>
      <w:pPr>
        <w:pStyle w:val="4"/>
        <w:ind w:firstLine="420"/>
      </w:pPr>
      <w:r>
        <w:t>（一）不同国家人均GDP有显著差异</w:t>
      </w:r>
    </w:p>
    <w:p>
      <w:pPr>
        <w:rPr>
          <w:szCs w:val="21"/>
        </w:rPr>
      </w:pPr>
      <w:r>
        <w:rPr>
          <w:szCs w:val="21"/>
        </w:rPr>
        <w:t>根据国际货币</w:t>
      </w:r>
      <w:r>
        <w:rPr>
          <w:rFonts w:hint="eastAsia"/>
          <w:szCs w:val="21"/>
          <w:lang w:val="en-US" w:eastAsia="zh-CN"/>
        </w:rPr>
        <w:t>基金</w:t>
      </w:r>
      <w:r>
        <w:rPr>
          <w:szCs w:val="21"/>
        </w:rPr>
        <w:t>组织（IMF）数据，2021年美国人均GDP为69231.40美元/人，中国人均GDP为12358.8美元/人，美国是中国的5.6倍，美国显著高。本文的解释是：根据不变价格生产函数方程（4-13），不同国家经济禀赋</w:t>
      </w:r>
      <w:r>
        <w:rPr>
          <w:bCs/>
          <w:szCs w:val="21"/>
        </w:rPr>
        <w:t xml:space="preserve"> 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）不同，政府投资和货币政策带来的社会需求(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)不同，最后导致</w:t>
      </w:r>
      <w:r>
        <w:rPr>
          <w:szCs w:val="21"/>
        </w:rPr>
        <w:t>不变价格人均社会产出不同。美国科学与技术水平比中国显著高，美国人均人口知识积累，私人部门人均对知识的积累，政府部门人均对知识的积累显著比中国的高，这是美国人均GDP比中国显著高的原因。因此，不同国家不同经济禀赋和不同政府投资和货币政策是造成人均GDP差异的原因。</w:t>
      </w:r>
    </w:p>
    <w:p>
      <w:pPr>
        <w:pStyle w:val="4"/>
        <w:ind w:firstLine="420"/>
      </w:pPr>
      <w:r>
        <w:t>（二）中印经济增长显著差异</w:t>
      </w:r>
    </w:p>
    <w:p>
      <w:pPr>
        <w:rPr>
          <w:szCs w:val="21"/>
        </w:rPr>
      </w:pPr>
      <w:r>
        <w:rPr>
          <w:szCs w:val="21"/>
        </w:rPr>
        <w:t>中国与印度人口规模相近，1979年中国人均GDP是印度的82%，2020年中国人均GDP是印度的5.48倍，这期间中国经济增长率显著比印度高。本文的解释是：（1）中国高考制度和大学扩招培养了大量知识劳动力，提高了人口对知识的积累。（2）政府大量投资经济基础设施和科学与技术研究，提高了政府部门资本积累。（3）政府资本积累提高了社会生产力，构成对私人部门的补贴，提高了私人部门国际竞争力，吸引国际产业转移到中国，这最终提高了私人部门资本积累。上述三点是过去四十多年中国经济增长比印度好的重要原因之一。中国经济增长比印度显著好意味着中国过去的政府投资和货币政策有显著效果。</w:t>
      </w:r>
    </w:p>
    <w:p>
      <w:pPr>
        <w:pStyle w:val="4"/>
        <w:ind w:firstLine="420"/>
      </w:pPr>
      <w:r>
        <w:t>（三）美国、中国大陆和印度自然指数变化</w:t>
      </w:r>
    </w:p>
    <w:p>
      <w:pPr>
        <w:rPr>
          <w:szCs w:val="21"/>
        </w:rPr>
      </w:pPr>
      <w:r>
        <w:rPr>
          <w:szCs w:val="21"/>
        </w:rPr>
        <w:t>自然指数（Nature Index）于2016年首次发布，根据世界各国在全球顶级期刊（《自然》系列、《科学》《细胞》等82种自然科学类期刊）上发表的论文数量计分，反映世界各国当年高质量科学与技术研究产出。2016年至2022年，中国自然指数份额快速增长。科学与技术是经济体禀赋最核心要素之一，中国自然指数份额快速增长为未来经济体禀赋快速增长和经济增长潜力快速增长打下良好的基础。本文对这个经济现实的解释是：中国政府对大学和科研院所大量投入带来中国科学家高质量科研论文快速增加，效果是显著的。</w:t>
      </w:r>
    </w:p>
    <w:p>
      <w:pPr>
        <w:pStyle w:val="5"/>
        <w:ind w:firstLine="360"/>
        <w:rPr>
          <w:rFonts w:eastAsia="宋体"/>
        </w:rPr>
      </w:pPr>
      <w:r>
        <w:rPr>
          <w:rFonts w:hint="eastAsia"/>
        </w:rPr>
        <w:drawing>
          <wp:inline distT="0" distB="0" distL="114300" distR="114300">
            <wp:extent cx="4632325" cy="3581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4637484" cy="3585085"/>
                    </a:xfrm>
                    <a:prstGeom prst="rect">
                      <a:avLst/>
                    </a:prstGeom>
                  </pic:spPr>
                </pic:pic>
              </a:graphicData>
            </a:graphic>
          </wp:inline>
        </w:drawing>
      </w:r>
      <w:r>
        <w:rPr>
          <w:rFonts w:hint="eastAsia"/>
        </w:rPr>
        <w:t xml:space="preserve">图5-1 </w:t>
      </w:r>
      <w:r>
        <w:t>2016</w:t>
      </w:r>
      <w:r>
        <w:rPr>
          <w:rFonts w:hint="eastAsia"/>
        </w:rPr>
        <w:t>至2</w:t>
      </w:r>
      <w:r>
        <w:t>022</w:t>
      </w:r>
      <w:r>
        <w:rPr>
          <w:rFonts w:hint="eastAsia"/>
        </w:rPr>
        <w:t>年美国、中国、印度自然指数图</w:t>
      </w:r>
    </w:p>
    <w:p>
      <w:pPr>
        <w:pStyle w:val="4"/>
        <w:ind w:firstLine="420"/>
      </w:pPr>
      <w:r>
        <w:rPr>
          <w:rFonts w:hint="eastAsia"/>
          <w:lang w:bidi="ar"/>
        </w:rPr>
        <w:t>（</w:t>
      </w:r>
      <w:r>
        <w:rPr>
          <w:lang w:bidi="ar"/>
        </w:rPr>
        <w:t>四）发达国家政府投资对社会产出，私人投资和就业的影响</w:t>
      </w:r>
    </w:p>
    <w:p>
      <w:pPr>
        <w:rPr>
          <w:szCs w:val="21"/>
          <w:lang w:bidi="ar"/>
        </w:rPr>
      </w:pPr>
      <w:r>
        <w:rPr>
          <w:szCs w:val="21"/>
          <w:lang w:bidi="ar"/>
        </w:rPr>
        <w:fldChar w:fldCharType="begin"/>
      </w:r>
      <w:r>
        <w:rPr>
          <w:szCs w:val="21"/>
          <w:lang w:bidi="ar"/>
        </w:rPr>
        <w:instrText xml:space="preserve"> ADDIN EN.CITE &lt;EndNote&gt;&lt;Cite AuthorYear="1"&gt;&lt;Author&gt;Adb&lt;/Author&gt;&lt;Year&gt;2016&lt;/Year&gt;&lt;RecNum&gt;941&lt;/RecNum&gt;&lt;DisplayText&gt;Adb et al.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rPr>
          <w:szCs w:val="21"/>
          <w:lang w:bidi="ar"/>
        </w:rPr>
        <w:fldChar w:fldCharType="separate"/>
      </w:r>
      <w:r>
        <w:rPr>
          <w:szCs w:val="21"/>
          <w:lang w:bidi="ar"/>
        </w:rPr>
        <w:t>Adb et al. (2016)</w:t>
      </w:r>
      <w:r>
        <w:rPr>
          <w:szCs w:val="21"/>
          <w:lang w:bidi="ar"/>
        </w:rPr>
        <w:fldChar w:fldCharType="end"/>
      </w:r>
      <w:r>
        <w:rPr>
          <w:szCs w:val="21"/>
          <w:lang w:bidi="ar"/>
        </w:rPr>
        <w:t>用17个OECD国家1985-2013期间数据分析政府公共投资的效应，其结论是政府投资无论是长期还是短期都增加社会产出，激发而不是抑制私人部门投资，并减少社会失业。本文的解释是：通货膨胀率在政策目标范围内的条件下，政府投资对私人部门投资是刺激效应而不是挤出效应，政府投资提高社会产出。</w:t>
      </w:r>
    </w:p>
    <w:p>
      <w:pPr>
        <w:rPr>
          <w:szCs w:val="21"/>
          <w:lang w:bidi="ar"/>
        </w:rPr>
      </w:pPr>
      <w:r>
        <w:rPr>
          <w:szCs w:val="21"/>
          <w:lang w:bidi="ar"/>
        </w:rPr>
        <w:t xml:space="preserve"> （五）中国经济增长平稳</w:t>
      </w:r>
    </w:p>
    <w:p>
      <w:pPr>
        <w:rPr>
          <w:szCs w:val="21"/>
          <w:lang w:bidi="ar"/>
        </w:rPr>
      </w:pPr>
      <w:r>
        <w:rPr>
          <w:szCs w:val="21"/>
          <w:lang w:bidi="ar"/>
        </w:rPr>
        <w:t>由图5-2可知，1978年以来，中国经济增长平稳，从未爆发金融危机和经济危机。中国实质上已货币机构政府化，在基本保证通货膨胀率在政策目标范围内的前提条件下，政府大量投资科学与技术研究、经济基础设施、学校和医院等社会公共服务机构等，有效降低了私人部门的外部成本，提高了私人部门的国际竞争力，让先进国际产业转移到中国，中国经济因此不仅实现了比较高的增长速度还从未爆发金融危</w:t>
      </w:r>
      <w:r>
        <w:rPr>
          <w:rFonts w:ascii="宋体" w:hAnsi="宋体" w:cs="宋体"/>
          <w:szCs w:val="21"/>
          <w:lang w:bidi="ar"/>
        </w:rPr>
        <w:drawing>
          <wp:inline distT="0" distB="0" distL="114300" distR="114300">
            <wp:extent cx="5271770" cy="4075430"/>
            <wp:effectExtent l="0" t="0" r="508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a:stretch>
                      <a:fillRect/>
                    </a:stretch>
                  </pic:blipFill>
                  <pic:spPr>
                    <a:xfrm>
                      <a:off x="0" y="0"/>
                      <a:ext cx="5271770" cy="4075430"/>
                    </a:xfrm>
                    <a:prstGeom prst="rect">
                      <a:avLst/>
                    </a:prstGeom>
                  </pic:spPr>
                </pic:pic>
              </a:graphicData>
            </a:graphic>
          </wp:inline>
        </w:drawing>
      </w:r>
      <w:r>
        <w:rPr>
          <w:szCs w:val="21"/>
          <w:lang w:bidi="ar"/>
        </w:rPr>
        <w:t>机和经济危机。</w:t>
      </w:r>
    </w:p>
    <w:p>
      <w:pPr>
        <w:rPr>
          <w:rFonts w:ascii="宋体" w:hAnsi="宋体" w:cs="宋体"/>
          <w:szCs w:val="21"/>
          <w:lang w:bidi="ar"/>
        </w:rPr>
      </w:pPr>
    </w:p>
    <w:p>
      <w:pPr>
        <w:pStyle w:val="5"/>
        <w:rPr>
          <w:lang w:bidi="ar"/>
        </w:rPr>
      </w:pPr>
      <w:r>
        <w:rPr>
          <w:rFonts w:hint="eastAsia"/>
          <w:sz w:val="21"/>
          <w:lang w:bidi="ar"/>
        </w:rPr>
        <w:t>图5-2</w:t>
      </w:r>
      <w:r>
        <w:rPr>
          <w:lang w:bidi="ar"/>
        </w:rPr>
        <w:t xml:space="preserve"> 1979</w:t>
      </w:r>
      <w:r>
        <w:rPr>
          <w:rFonts w:hint="eastAsia"/>
          <w:lang w:bidi="ar"/>
        </w:rPr>
        <w:t>至2</w:t>
      </w:r>
      <w:r>
        <w:rPr>
          <w:lang w:bidi="ar"/>
        </w:rPr>
        <w:t>020</w:t>
      </w:r>
      <w:r>
        <w:rPr>
          <w:rFonts w:hint="eastAsia"/>
          <w:lang w:bidi="ar"/>
        </w:rPr>
        <w:t>年各</w:t>
      </w:r>
      <w:r>
        <w:rPr>
          <w:rFonts w:hint="eastAsia"/>
          <w:lang w:val="en-US" w:eastAsia="zh-CN" w:bidi="ar"/>
        </w:rPr>
        <w:t>类</w:t>
      </w:r>
      <w:r>
        <w:rPr>
          <w:rFonts w:hint="eastAsia"/>
          <w:lang w:bidi="ar"/>
        </w:rPr>
        <w:t>经济增长率</w:t>
      </w:r>
    </w:p>
    <w:p>
      <w:pPr>
        <w:ind w:firstLine="0" w:firstLineChars="0"/>
        <w:rPr>
          <w:lang w:bidi="ar"/>
        </w:rPr>
      </w:pPr>
    </w:p>
    <w:p>
      <w:pPr>
        <w:pStyle w:val="2"/>
      </w:pPr>
      <w:r>
        <w:rPr>
          <w:rFonts w:hint="eastAsia"/>
        </w:rPr>
        <w:t>六、模型对若干重要理论问题的解释</w:t>
      </w:r>
    </w:p>
    <w:p>
      <w:pPr>
        <w:widowControl/>
        <w:rPr>
          <w:rFonts w:ascii="宋体" w:hAnsi="宋体" w:cs="宋体"/>
        </w:rPr>
      </w:pPr>
      <w:r>
        <w:rPr>
          <w:rFonts w:ascii="宋体" w:hAnsi="宋体" w:cs="宋体"/>
        </w:rPr>
        <w:t>本文模型对若干重要经济理论问题的解释与主流经济理论模型有比较大的差异。</w:t>
      </w:r>
    </w:p>
    <w:p>
      <w:pPr>
        <w:widowControl/>
        <w:rPr>
          <w:rFonts w:ascii="宋体" w:hAnsi="宋体" w:cs="宋体"/>
        </w:rPr>
      </w:pPr>
      <w:r>
        <w:rPr>
          <w:rFonts w:hint="eastAsia" w:ascii="宋体" w:hAnsi="宋体" w:cs="宋体"/>
        </w:rPr>
        <w:t>（一）</w:t>
      </w:r>
      <w:r>
        <w:rPr>
          <w:rFonts w:hint="eastAsia" w:ascii="宋体" w:hAnsi="宋体" w:cs="宋体"/>
          <w:lang w:val="en-US" w:eastAsia="zh-CN"/>
        </w:rPr>
        <w:t>金融危机</w:t>
      </w:r>
      <w:r>
        <w:rPr>
          <w:rFonts w:hint="eastAsia" w:ascii="微软雅黑" w:hAnsi="微软雅黑" w:eastAsia="微软雅黑" w:cs="微软雅黑"/>
          <w:lang w:val="en-US" w:eastAsia="zh-CN"/>
        </w:rPr>
        <w:t>、</w:t>
      </w:r>
      <w:r>
        <w:rPr>
          <w:rFonts w:hint="eastAsia" w:ascii="宋体" w:hAnsi="宋体" w:cs="宋体"/>
          <w:lang w:val="en-US" w:eastAsia="zh-CN"/>
        </w:rPr>
        <w:t>经济危机和</w:t>
      </w:r>
      <w:r>
        <w:rPr>
          <w:rFonts w:hint="eastAsia" w:ascii="宋体" w:hAnsi="宋体" w:cs="宋体"/>
        </w:rPr>
        <w:t>经济波动问题</w:t>
      </w:r>
    </w:p>
    <w:p>
      <w:pPr>
        <w:widowControl/>
        <w:rPr>
          <w:rFonts w:ascii="宋体" w:hAnsi="宋体" w:cs="宋体"/>
        </w:rPr>
      </w:pPr>
      <w:r>
        <w:rPr>
          <w:rFonts w:ascii="宋体" w:hAnsi="宋体" w:cs="宋体"/>
        </w:rPr>
        <w:t>新古典学派认为理想条件下自由市场经济能实现最优化发展</w:t>
      </w:r>
      <w:r>
        <w:rPr>
          <w:rFonts w:hint="eastAsia" w:ascii="宋体" w:hAnsi="宋体" w:cs="宋体"/>
        </w:rPr>
        <w:t>，</w:t>
      </w:r>
      <w:r>
        <w:rPr>
          <w:rFonts w:ascii="宋体" w:hAnsi="宋体" w:cs="宋体"/>
        </w:rPr>
        <w:t>不会出现金融危机和经济危机等经济波动，是现实的信息不完美，信息传导摩擦和政府政策导致了金融危机和经济危机等</w:t>
      </w:r>
      <w:r>
        <w:rPr>
          <w:rFonts w:hint="eastAsia" w:ascii="宋体" w:hAnsi="宋体" w:cs="宋体"/>
        </w:rPr>
        <w:t>经济波动</w:t>
      </w:r>
      <w:r>
        <w:rPr>
          <w:rFonts w:ascii="宋体" w:hAnsi="宋体" w:cs="宋体"/>
        </w:rPr>
        <w:t>。</w:t>
      </w:r>
    </w:p>
    <w:p>
      <w:pPr>
        <w:widowControl/>
        <w:rPr>
          <w:rFonts w:ascii="宋体" w:hAnsi="宋体" w:cs="宋体"/>
        </w:rPr>
      </w:pPr>
      <w:r>
        <w:rPr>
          <w:rFonts w:ascii="宋体" w:hAnsi="宋体" w:cs="宋体"/>
        </w:rPr>
        <w:t>本文则认为自由市场经济内生不能实现</w:t>
      </w:r>
      <w:r>
        <w:rPr>
          <w:rFonts w:hint="eastAsia" w:ascii="宋体" w:hAnsi="宋体" w:cs="宋体"/>
        </w:rPr>
        <w:t>最</w:t>
      </w:r>
      <w:r>
        <w:rPr>
          <w:rFonts w:ascii="宋体" w:hAnsi="宋体" w:cs="宋体"/>
        </w:rPr>
        <w:t>优化发展，商业银行由于债权期限错配爆发金融危机和经济危机是必然；自由市场经济将出现劳动力剩余和资本积累未被充分利用。政府通过政府化的货币体系可以避免金融危机，政府投资和货币政策等可以提高劳动力利用率，平滑经济波动和提高经济体禀赋。</w:t>
      </w:r>
    </w:p>
    <w:p>
      <w:pPr>
        <w:widowControl/>
        <w:rPr>
          <w:rFonts w:ascii="宋体" w:hAnsi="宋体" w:cs="宋体"/>
        </w:rPr>
      </w:pPr>
      <w:r>
        <w:rPr>
          <w:rFonts w:hint="eastAsia" w:ascii="宋体" w:hAnsi="宋体" w:cs="宋体"/>
        </w:rPr>
        <w:t>（二）经济产出的短期收敛或上限问题</w:t>
      </w:r>
    </w:p>
    <w:p>
      <w:pPr>
        <w:widowControl/>
        <w:rPr>
          <w:rFonts w:ascii="宋体" w:hAnsi="宋体" w:cs="宋体"/>
        </w:rPr>
      </w:pPr>
      <w:r>
        <w:rPr>
          <w:rFonts w:hint="eastAsia" w:ascii="宋体" w:hAnsi="宋体" w:cs="宋体"/>
        </w:rPr>
        <w:t>新古典学派认为自由经济活动将实现竞争性</w:t>
      </w:r>
      <w:r>
        <w:rPr>
          <w:rFonts w:ascii="宋体" w:hAnsi="宋体" w:cs="宋体"/>
        </w:rPr>
        <w:t>均衡</w:t>
      </w:r>
      <w:r>
        <w:rPr>
          <w:rFonts w:hint="eastAsia" w:ascii="宋体" w:hAnsi="宋体" w:cs="宋体"/>
        </w:rPr>
        <w:t>，</w:t>
      </w:r>
      <w:r>
        <w:rPr>
          <w:rFonts w:ascii="宋体" w:hAnsi="宋体" w:cs="宋体"/>
        </w:rPr>
        <w:t>社会</w:t>
      </w:r>
      <w:r>
        <w:rPr>
          <w:rFonts w:hint="eastAsia" w:ascii="宋体" w:hAnsi="宋体" w:cs="宋体"/>
        </w:rPr>
        <w:t>产出是收敛的。</w:t>
      </w:r>
    </w:p>
    <w:p>
      <w:pPr>
        <w:widowControl/>
        <w:rPr>
          <w:rFonts w:ascii="宋体" w:hAnsi="宋体" w:cs="宋体"/>
        </w:rPr>
      </w:pPr>
      <w:r>
        <w:rPr>
          <w:rFonts w:ascii="宋体" w:hAnsi="宋体" w:cs="宋体"/>
        </w:rPr>
        <w:t>本文认为政府投资和货币政策等与通货膨胀率之间存在一种约束关系，政府投资和货币政策等超过一定范围将引发通货膨胀，任一特定时期经济产出是有上限的。</w:t>
      </w:r>
    </w:p>
    <w:p>
      <w:pPr>
        <w:widowControl/>
        <w:rPr>
          <w:rFonts w:ascii="宋体" w:hAnsi="宋体" w:cs="宋体"/>
        </w:rPr>
      </w:pPr>
      <w:r>
        <w:rPr>
          <w:rFonts w:hint="eastAsia" w:ascii="宋体" w:hAnsi="宋体" w:cs="宋体"/>
        </w:rPr>
        <w:t>（三）经济产出的长期单调增长问题。</w:t>
      </w:r>
    </w:p>
    <w:p>
      <w:pPr>
        <w:widowControl/>
        <w:rPr>
          <w:rFonts w:ascii="宋体" w:hAnsi="宋体" w:cs="宋体"/>
        </w:rPr>
      </w:pPr>
      <w:r>
        <w:rPr>
          <w:rFonts w:ascii="宋体" w:hAnsi="宋体" w:cs="宋体"/>
        </w:rPr>
        <w:t>罗默在索洛模型的基础上假设私人部门的研发投入将带来产出的规模递增，但对研发投入的产出仍然是规模递减。这既保证了新古典模型的短期收敛性，又解释了以研发为驱动力的美国经济的长期单调持续增长问题。</w:t>
      </w:r>
    </w:p>
    <w:p>
      <w:pPr>
        <w:rPr>
          <w:rFonts w:ascii="宋体" w:hAnsi="宋体" w:cs="宋体"/>
        </w:rPr>
      </w:pPr>
      <w:r>
        <w:rPr>
          <w:rFonts w:ascii="宋体" w:hAnsi="宋体" w:cs="宋体"/>
        </w:rPr>
        <w:t>本文认为新知识带来新产品或降低老产品成本推动经济单调持续增长，即知识增长推动经济持续单调增长</w:t>
      </w:r>
      <w:r>
        <w:rPr>
          <w:rFonts w:hint="eastAsia" w:ascii="宋体" w:hAnsi="宋体" w:cs="宋体"/>
        </w:rPr>
        <w:t>，经济增长无边界</w:t>
      </w:r>
      <w:r>
        <w:rPr>
          <w:rFonts w:ascii="宋体" w:hAnsi="宋体" w:cs="宋体"/>
        </w:rPr>
        <w:t>。</w:t>
      </w:r>
    </w:p>
    <w:p>
      <w:pPr>
        <w:rPr>
          <w:rFonts w:ascii="宋体" w:hAnsi="宋体" w:cs="宋体"/>
        </w:rPr>
      </w:pPr>
      <w:r>
        <w:rPr>
          <w:rFonts w:hint="eastAsia" w:ascii="宋体" w:hAnsi="宋体" w:cs="宋体"/>
        </w:rPr>
        <w:t>（四）</w:t>
      </w:r>
      <w:r>
        <w:rPr>
          <w:rFonts w:ascii="宋体" w:hAnsi="宋体" w:cs="宋体"/>
        </w:rPr>
        <w:t>世界各国贫富差距不收敛</w:t>
      </w:r>
      <w:r>
        <w:rPr>
          <w:rFonts w:hint="eastAsia" w:ascii="宋体" w:hAnsi="宋体" w:cs="宋体"/>
        </w:rPr>
        <w:t>问题</w:t>
      </w:r>
    </w:p>
    <w:p>
      <w:pPr>
        <w:rPr>
          <w:rFonts w:ascii="宋体" w:hAnsi="宋体" w:cs="宋体"/>
        </w:rPr>
      </w:pPr>
      <w:r>
        <w:rPr>
          <w:rFonts w:hint="eastAsia" w:ascii="宋体" w:hAnsi="宋体" w:cs="宋体"/>
        </w:rPr>
        <w:t>新古典罗默模型认为</w:t>
      </w:r>
      <w:r>
        <w:rPr>
          <w:rFonts w:ascii="宋体" w:hAnsi="宋体" w:cs="宋体"/>
        </w:rPr>
        <w:t>发达国家与发展中国家的</w:t>
      </w:r>
      <w:r>
        <w:rPr>
          <w:rFonts w:hint="eastAsia" w:ascii="宋体" w:hAnsi="宋体" w:cs="宋体"/>
        </w:rPr>
        <w:t>人均</w:t>
      </w:r>
      <w:r>
        <w:rPr>
          <w:rFonts w:ascii="宋体" w:hAnsi="宋体" w:cs="宋体"/>
        </w:rPr>
        <w:t>产出</w:t>
      </w:r>
      <w:r>
        <w:rPr>
          <w:rFonts w:hint="eastAsia" w:ascii="宋体" w:hAnsi="宋体" w:cs="宋体"/>
        </w:rPr>
        <w:t>差距</w:t>
      </w:r>
      <w:r>
        <w:rPr>
          <w:rFonts w:ascii="宋体" w:hAnsi="宋体" w:cs="宋体"/>
        </w:rPr>
        <w:t>越来越大，</w:t>
      </w:r>
      <w:r>
        <w:rPr>
          <w:rFonts w:hint="eastAsia" w:ascii="宋体" w:hAnsi="宋体" w:cs="宋体"/>
        </w:rPr>
        <w:t>原因在于发达国家与发展中国家科学与技术水平差距越来越大，发达国家与发展中国家的经济禀赋差距越来越大。本文的主张与罗默大致一致，差异在于罗默认为科学与技术是私人部门的内生变量，而本文则认为科学与技术是所有经济主体的内生变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w:t>
      </w:r>
      <w:r>
        <w:rPr>
          <w:rFonts w:asciiTheme="minorEastAsia" w:hAnsiTheme="minorEastAsia" w:eastAsiaTheme="minorEastAsia" w:cstheme="minorEastAsia"/>
          <w:szCs w:val="21"/>
        </w:rPr>
        <w:t>高科技寡头企业资本回报高于社会平均利率问题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按新古典一般均衡理论，企业的资本回报率将与社会平均利率实现均衡。但美国的微软等科技巨头其资本回报率比美国市场利率显著高，为此鲍勃和曼昆在索洛新古典模型的基础上引入企业市场力假设，认为是企业的市场力让企业获得了高于社会平均市场利率的收益。</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本文认为，伯特兰德竞争是企业竞争的主要形式，优势企业对竞争对手的知识优势是获得利润的重要来源。知识优势越大，资本回报越高。美国高科技巨头因为比竞争对手有巨大的研发优势而获得远高于社会平均市场利率的资本回报。</w:t>
      </w:r>
    </w:p>
    <w:p>
      <w:pPr>
        <w:widowControl/>
        <w:rPr>
          <w:rFonts w:ascii="宋体" w:hAnsi="宋体" w:cs="宋体"/>
        </w:rPr>
      </w:pPr>
      <w:r>
        <w:rPr>
          <w:rFonts w:hint="eastAsia" w:ascii="宋体" w:hAnsi="宋体" w:cs="宋体"/>
        </w:rPr>
        <w:t>（六）汇率稳定问题</w:t>
      </w:r>
    </w:p>
    <w:p>
      <w:pPr>
        <w:widowControl/>
        <w:rPr>
          <w:rFonts w:ascii="宋体" w:hAnsi="宋体" w:cs="宋体"/>
        </w:rPr>
      </w:pPr>
      <w:r>
        <w:rPr>
          <w:rFonts w:ascii="宋体" w:hAnsi="宋体" w:cs="宋体"/>
        </w:rPr>
        <w:t>格鲁克曼认为两国货币之间的比价汇率存在稳定均衡解。本文认为汇率是投资品价格没有稳定均衡解，主张通过央行在国际外汇市场干预实现稳定汇率，保证国际贸易顺利进行。</w:t>
      </w:r>
    </w:p>
    <w:p>
      <w:pPr>
        <w:widowControl/>
        <w:rPr>
          <w:rFonts w:ascii="宋体" w:hAnsi="宋体" w:cs="宋体"/>
        </w:rPr>
      </w:pPr>
      <w:r>
        <w:rPr>
          <w:rFonts w:hint="eastAsia" w:ascii="宋体" w:hAnsi="宋体" w:cs="宋体"/>
        </w:rPr>
        <w:t>（七）</w:t>
      </w:r>
      <w:r>
        <w:rPr>
          <w:rFonts w:ascii="宋体" w:hAnsi="宋体" w:cs="宋体"/>
        </w:rPr>
        <w:t>私人部门跨境资本流动的管理问题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新古典</w:t>
      </w:r>
      <w:r>
        <w:rPr>
          <w:rFonts w:hint="eastAsia" w:asciiTheme="minorEastAsia" w:hAnsiTheme="minorEastAsia" w:eastAsiaTheme="minorEastAsia" w:cstheme="minorEastAsia"/>
          <w:szCs w:val="21"/>
          <w:lang w:val="en-US" w:eastAsia="zh-CN"/>
        </w:rPr>
        <w:t>学派</w:t>
      </w:r>
      <w:r>
        <w:rPr>
          <w:rFonts w:asciiTheme="minorEastAsia" w:hAnsiTheme="minorEastAsia" w:eastAsiaTheme="minorEastAsia" w:cstheme="minorEastAsia"/>
          <w:szCs w:val="21"/>
        </w:rPr>
        <w:t>认为单个经济主体的优化就是国家经济体和全球整体的优化。本文认为私人部门单个经济主体的利益和国家整体利益可能不一致，主张对私人部门跨境资本流动和对外投资及融资进行管理，保证一个国家的财富不流失到国外。</w:t>
      </w:r>
    </w:p>
    <w:p>
      <w:pPr>
        <w:numPr>
          <w:ilvl w:val="0"/>
          <w:numId w:val="7"/>
        </w:numPr>
        <w:ind w:left="420" w:leftChars="0" w:firstLine="0" w:firstLineChars="0"/>
        <w:rPr>
          <w:rFonts w:hint="eastAsia" w:ascii="宋体" w:hAnsi="宋体" w:cs="宋体"/>
          <w:lang w:val="en-US" w:eastAsia="zh-CN"/>
        </w:rPr>
      </w:pPr>
      <w:r>
        <w:rPr>
          <w:rFonts w:hint="eastAsia" w:ascii="宋体" w:hAnsi="宋体" w:cs="宋体"/>
          <w:lang w:val="en-US" w:eastAsia="zh-CN"/>
        </w:rPr>
        <w:t>社会制度设计和完善问题</w:t>
      </w:r>
    </w:p>
    <w:p>
      <w:pPr>
        <w:numPr>
          <w:ilvl w:val="0"/>
          <w:numId w:val="0"/>
        </w:numPr>
        <w:ind w:firstLine="420" w:firstLineChars="200"/>
        <w:rPr>
          <w:rFonts w:hint="default" w:ascii="宋体" w:hAnsi="宋体" w:cs="宋体"/>
          <w:lang w:val="en-US" w:eastAsia="zh-CN"/>
        </w:rPr>
      </w:pPr>
      <w:r>
        <w:rPr>
          <w:rFonts w:hint="eastAsia" w:ascii="宋体" w:hAnsi="宋体" w:cs="宋体"/>
          <w:lang w:val="en-US" w:eastAsia="zh-CN"/>
        </w:rPr>
        <w:t>新古典学派和凯恩斯学派各类模型一般对微观经济主体做同质性假设，因而一般不涉及影响微观经济主体行为的社会制度设计和完善问题。本文模型对微观经济主体的假设是异质性，每个经济主体都有自身独特的资本积累，因此本文认为公平公正的激励各经济主体提高自身资本积累以提高市场竞争力社会制度的设计和完善是经济理论最重要的问题之一。</w:t>
      </w:r>
    </w:p>
    <w:p>
      <w:pPr>
        <w:pStyle w:val="2"/>
        <w:rPr>
          <w:rFonts w:hint="eastAsia" w:eastAsia="宋体"/>
          <w:lang w:eastAsia="zh-CN"/>
        </w:rPr>
      </w:pPr>
      <w:r>
        <w:rPr>
          <w:rFonts w:hint="eastAsia"/>
        </w:rPr>
        <w:t>七、</w:t>
      </w:r>
      <w:r>
        <w:rPr>
          <w:rFonts w:hint="default"/>
        </w:rPr>
        <w:t>一个新的经济理论框架</w:t>
      </w:r>
      <w:r>
        <w:rPr>
          <w:rFonts w:hint="eastAsia"/>
          <w:lang w:eastAsia="zh-CN"/>
        </w:rPr>
        <w:t>（</w:t>
      </w:r>
      <w:r>
        <w:rPr>
          <w:rFonts w:hint="eastAsia"/>
          <w:lang w:val="en-US" w:eastAsia="zh-CN"/>
        </w:rPr>
        <w:t>总结</w:t>
      </w:r>
      <w:r>
        <w:rPr>
          <w:rFonts w:hint="eastAsia"/>
          <w:lang w:eastAsia="zh-CN"/>
        </w:rPr>
        <w:t>）</w:t>
      </w:r>
    </w:p>
    <w:p>
      <w:pPr>
        <w:widowControl/>
        <w:ind w:left="0" w:leftChars="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经济理论是人们为分析和解释经济发展规律而主观构建的逻辑体系。不同的经济理论学派关于市场经济的基本规律假设不同，对经济活动规律的解释视角不同，构成不同的经济理论框架。</w:t>
      </w:r>
    </w:p>
    <w:p>
      <w:pPr>
        <w:rPr>
          <w:rFonts w:hint="eastAsia" w:asciiTheme="minorEastAsia" w:hAnsiTheme="minorEastAsia" w:eastAsiaTheme="minorEastAsia" w:cstheme="minorEastAsia"/>
        </w:rPr>
      </w:pPr>
      <w:r>
        <w:t>新古典学派认为没有政府干预的自由市场经济能自身实现竞争性均衡</w:t>
      </w:r>
      <w:r>
        <w:rPr>
          <w:rFonts w:hint="eastAsia"/>
          <w:lang w:eastAsia="zh-CN"/>
        </w:rPr>
        <w:t>（</w:t>
      </w:r>
      <w:r>
        <w:t>一般均衡</w:t>
      </w:r>
      <w:r>
        <w:rPr>
          <w:rFonts w:hint="eastAsia"/>
          <w:lang w:eastAsia="zh-CN"/>
        </w:rPr>
        <w:t>）。</w:t>
      </w:r>
      <w:r>
        <w:rPr>
          <w:rFonts w:hint="eastAsia" w:asciiTheme="minorEastAsia" w:hAnsiTheme="minorEastAsia" w:eastAsiaTheme="minorEastAsia" w:cstheme="minorEastAsia"/>
          <w:lang w:val="en-US" w:eastAsia="zh-CN"/>
        </w:rPr>
        <w:t>凯恩斯学派认为政府支出和货币政策能使市场经济实现最优解。本文认为自由市场经济难以实现劳动力全利用，政府政策能实现市场经济长期可持续稳定高质量发展。</w:t>
      </w:r>
    </w:p>
    <w:p>
      <w:pPr>
        <w:widowControl/>
        <w:ind w:left="0" w:leftChars="0"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1921年至1939年长达19年的时间里，英国失业率始终维持10%以上。基于这个经济现实，本文认为新古典学派和凯恩斯学派经济理论框架关于市场经济存在</w:t>
      </w:r>
      <w:r>
        <w:rPr>
          <w:rFonts w:hint="eastAsia" w:asciiTheme="minorEastAsia" w:hAnsiTheme="minorEastAsia" w:eastAsiaTheme="minorEastAsia" w:cstheme="minorEastAsia"/>
          <w:lang w:val="en-US" w:eastAsia="zh-CN"/>
        </w:rPr>
        <w:t>优化</w:t>
      </w:r>
      <w:r>
        <w:rPr>
          <w:rFonts w:hint="eastAsia" w:asciiTheme="minorEastAsia" w:hAnsiTheme="minorEastAsia" w:eastAsiaTheme="minorEastAsia" w:cstheme="minorEastAsia"/>
        </w:rPr>
        <w:t>均衡的</w:t>
      </w:r>
      <w:r>
        <w:rPr>
          <w:rFonts w:hint="eastAsia" w:asciiTheme="minorEastAsia" w:hAnsiTheme="minorEastAsia" w:eastAsiaTheme="minorEastAsia" w:cstheme="minorEastAsia"/>
          <w:lang w:val="en-US" w:eastAsia="zh-CN"/>
        </w:rPr>
        <w:t>假设过强</w:t>
      </w:r>
      <w:r>
        <w:rPr>
          <w:rFonts w:hint="eastAsia" w:asciiTheme="minorEastAsia" w:hAnsiTheme="minorEastAsia" w:eastAsiaTheme="minorEastAsia" w:cstheme="minorEastAsia"/>
        </w:rPr>
        <w:t>。</w:t>
      </w:r>
    </w:p>
    <w:p>
      <w:pPr>
        <w:ind w:firstLine="422"/>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本文</w:t>
      </w:r>
      <w:r>
        <w:rPr>
          <w:rFonts w:hint="eastAsia" w:asciiTheme="minorEastAsia" w:hAnsiTheme="minorEastAsia" w:eastAsiaTheme="minorEastAsia" w:cstheme="minorEastAsia"/>
          <w:lang w:val="en-US" w:eastAsia="zh-CN"/>
        </w:rPr>
        <w:t>模型</w:t>
      </w:r>
      <w:r>
        <w:rPr>
          <w:rFonts w:hint="eastAsia" w:asciiTheme="minorEastAsia" w:hAnsiTheme="minorEastAsia" w:eastAsiaTheme="minorEastAsia" w:cstheme="minorEastAsia"/>
        </w:rPr>
        <w:t>的经济理论框架对中国过去四十多年</w:t>
      </w:r>
      <w:r>
        <w:rPr>
          <w:rFonts w:hint="eastAsia" w:asciiTheme="minorEastAsia" w:hAnsiTheme="minorEastAsia" w:eastAsiaTheme="minorEastAsia" w:cstheme="minorEastAsia"/>
          <w:lang w:val="en-US" w:eastAsia="zh-CN"/>
        </w:rPr>
        <w:t>来</w:t>
      </w:r>
      <w:r>
        <w:rPr>
          <w:rFonts w:hint="eastAsia" w:asciiTheme="minorEastAsia" w:hAnsiTheme="minorEastAsia" w:eastAsiaTheme="minorEastAsia" w:cstheme="minorEastAsia"/>
        </w:rPr>
        <w:t>在经济和科研方面取得的显著成就</w:t>
      </w:r>
      <w:r>
        <w:rPr>
          <w:rFonts w:hint="eastAsia" w:asciiTheme="minorEastAsia" w:hAnsiTheme="minorEastAsia" w:eastAsiaTheme="minorEastAsia" w:cstheme="minorEastAsia"/>
          <w:lang w:val="en-US" w:eastAsia="zh-CN"/>
        </w:rPr>
        <w:t>以</w:t>
      </w:r>
      <w:r>
        <w:rPr>
          <w:rFonts w:hint="eastAsia" w:asciiTheme="minorEastAsia" w:hAnsiTheme="minorEastAsia" w:eastAsiaTheme="minorEastAsia" w:cstheme="minorEastAsia"/>
        </w:rPr>
        <w:t>及若干其它重要经济现实和理论问题给出了逻辑自洽的解释。</w:t>
      </w:r>
    </w:p>
    <w:p>
      <w:pPr>
        <w:widowControl/>
        <w:ind w:left="0" w:leftChars="0" w:firstLine="420" w:firstLineChars="200"/>
        <w:jc w:val="left"/>
        <w:rPr>
          <w:rFonts w:hint="default"/>
        </w:rPr>
      </w:pP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rPr>
      </w:pPr>
      <w:r>
        <w:rPr>
          <w:rFonts w:hint="eastAsia"/>
        </w:rPr>
        <w:t>八、政策建议</w:t>
      </w:r>
    </w:p>
    <w:p>
      <w:pPr>
        <w:rPr>
          <w:szCs w:val="21"/>
        </w:rPr>
      </w:pPr>
      <w:r>
        <w:rPr>
          <w:szCs w:val="21"/>
        </w:rPr>
        <w:t>根据前文阐述的关于市场经济的基本规律假设</w:t>
      </w:r>
      <w:r>
        <w:rPr>
          <w:rFonts w:hint="eastAsia" w:ascii="微软雅黑" w:hAnsi="微软雅黑" w:eastAsia="微软雅黑" w:cs="微软雅黑"/>
          <w:szCs w:val="21"/>
        </w:rPr>
        <w:t>、</w:t>
      </w:r>
      <w:r>
        <w:rPr>
          <w:rFonts w:hint="eastAsia"/>
          <w:szCs w:val="21"/>
          <w:lang w:val="en-US" w:eastAsia="zh-CN"/>
        </w:rPr>
        <w:t>关于经济变量关系曲线的假设及</w:t>
      </w:r>
      <w:r>
        <w:rPr>
          <w:szCs w:val="21"/>
        </w:rPr>
        <w:t>推演出的</w:t>
      </w:r>
      <w:r>
        <w:rPr>
          <w:rFonts w:hint="eastAsia"/>
          <w:szCs w:val="21"/>
          <w:lang w:val="en-US" w:eastAsia="zh-CN"/>
        </w:rPr>
        <w:t>各类</w:t>
      </w:r>
      <w:r>
        <w:rPr>
          <w:szCs w:val="21"/>
        </w:rPr>
        <w:t>经济规律或约束关系，本文</w:t>
      </w:r>
      <w:r>
        <w:rPr>
          <w:rFonts w:hint="eastAsia"/>
          <w:szCs w:val="21"/>
          <w:lang w:val="en-US" w:eastAsia="zh-CN"/>
        </w:rPr>
        <w:t>提出</w:t>
      </w:r>
      <w:r>
        <w:rPr>
          <w:szCs w:val="21"/>
        </w:rPr>
        <w:t>如下政策建议。</w:t>
      </w:r>
    </w:p>
    <w:p>
      <w:pPr>
        <w:rPr>
          <w:szCs w:val="21"/>
        </w:rPr>
      </w:pPr>
      <w:r>
        <w:rPr>
          <w:szCs w:val="21"/>
        </w:rPr>
        <w:t>（一）让自由市场成为社会存量资产优化配置的最重要手段。</w:t>
      </w:r>
    </w:p>
    <w:p>
      <w:pPr>
        <w:rPr>
          <w:szCs w:val="21"/>
        </w:rPr>
      </w:pPr>
      <w:r>
        <w:rPr>
          <w:szCs w:val="21"/>
        </w:rPr>
        <w:t>1. 清除各种影响劳动力</w:t>
      </w:r>
      <w:r>
        <w:rPr>
          <w:rFonts w:hint="eastAsia"/>
          <w:szCs w:val="21"/>
          <w:lang w:val="en-US" w:eastAsia="zh-CN"/>
        </w:rPr>
        <w:t>等生产要素</w:t>
      </w:r>
      <w:r>
        <w:rPr>
          <w:szCs w:val="21"/>
        </w:rPr>
        <w:t>自由流动的障碍，最大程度实现劳动力</w:t>
      </w:r>
      <w:r>
        <w:rPr>
          <w:rFonts w:hint="eastAsia"/>
          <w:szCs w:val="21"/>
          <w:lang w:val="en-US" w:eastAsia="zh-CN"/>
        </w:rPr>
        <w:t>等生产要素</w:t>
      </w:r>
      <w:r>
        <w:rPr>
          <w:szCs w:val="21"/>
        </w:rPr>
        <w:t>自由竞争。中国改革开放取得巨大成功最重要的原因之一是各单位解除了对劳动力</w:t>
      </w:r>
      <w:r>
        <w:rPr>
          <w:rFonts w:hint="eastAsia"/>
          <w:szCs w:val="21"/>
          <w:lang w:val="en-US" w:eastAsia="zh-CN"/>
        </w:rPr>
        <w:t>等生产要素</w:t>
      </w:r>
      <w:r>
        <w:rPr>
          <w:szCs w:val="21"/>
        </w:rPr>
        <w:t>的流动管制。</w:t>
      </w:r>
    </w:p>
    <w:p>
      <w:pPr>
        <w:rPr>
          <w:szCs w:val="21"/>
        </w:rPr>
      </w:pPr>
      <w:r>
        <w:rPr>
          <w:szCs w:val="21"/>
        </w:rPr>
        <w:t>2. 土地</w:t>
      </w:r>
      <w:r>
        <w:rPr>
          <w:rFonts w:hint="eastAsia"/>
          <w:szCs w:val="21"/>
        </w:rPr>
        <w:t>、</w:t>
      </w:r>
      <w:r>
        <w:rPr>
          <w:szCs w:val="21"/>
        </w:rPr>
        <w:t>空间</w:t>
      </w:r>
      <w:r>
        <w:rPr>
          <w:rFonts w:hint="eastAsia"/>
          <w:szCs w:val="21"/>
        </w:rPr>
        <w:t>、</w:t>
      </w:r>
      <w:r>
        <w:rPr>
          <w:szCs w:val="21"/>
        </w:rPr>
        <w:t>海洋和矿产等政府掌握的社会公共资源向私人部门转让使用权时，应该进行市场化拍卖。</w:t>
      </w:r>
    </w:p>
    <w:p>
      <w:pPr>
        <w:rPr>
          <w:szCs w:val="21"/>
        </w:rPr>
      </w:pPr>
      <w:r>
        <w:rPr>
          <w:szCs w:val="21"/>
        </w:rPr>
        <w:t>（二）优化私人部门投资与政府部门投资的关系</w:t>
      </w:r>
    </w:p>
    <w:p>
      <w:pPr>
        <w:rPr>
          <w:szCs w:val="21"/>
        </w:rPr>
      </w:pPr>
      <w:r>
        <w:rPr>
          <w:szCs w:val="21"/>
        </w:rPr>
        <w:t>1. 能直接实现盈利的项目由私人部门投资，让市场竞争选出最优秀的经营主体。</w:t>
      </w:r>
    </w:p>
    <w:p>
      <w:pPr>
        <w:rPr>
          <w:szCs w:val="21"/>
        </w:rPr>
      </w:pPr>
      <w:r>
        <w:rPr>
          <w:szCs w:val="21"/>
        </w:rPr>
        <w:t>2. 对提高经济禀赋有意义但不宜盈利的项目由政府投资，发挥政府货币财政资金来源相对充足的优势。</w:t>
      </w:r>
    </w:p>
    <w:p>
      <w:pPr>
        <w:rPr>
          <w:szCs w:val="21"/>
        </w:rPr>
      </w:pPr>
      <w:r>
        <w:rPr>
          <w:szCs w:val="21"/>
        </w:rPr>
        <w:t>3. 实践中私人部门投资和政府投资不一定有明确的界限，应保证各种体制经济主体公平竞争。</w:t>
      </w:r>
    </w:p>
    <w:p>
      <w:pPr>
        <w:rPr>
          <w:szCs w:val="21"/>
        </w:rPr>
      </w:pPr>
      <w:r>
        <w:rPr>
          <w:szCs w:val="21"/>
        </w:rPr>
        <w:t xml:space="preserve"> （三）用足政府投资政策空间，最大程度改善民众生活和提高经济体禀赋。</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树立知识是第一生产力信念，持续扩大高校博士生和教授规模，让中国从普通劳动力红利、工程师红利升级为科学家红利；让中国最终成为全球科学与技术研究中心和全球高科技产业中心。</w:t>
      </w:r>
    </w:p>
    <w:p>
      <w:pPr>
        <w:rPr>
          <w:rFonts w:hint="default"/>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免除社保缴费，降低企业成本，提高国内企业国际竞争力。社保支出为政府支出，政府财政由货币发行平衡。</w:t>
      </w:r>
    </w:p>
    <w:p>
      <w:pPr>
        <w:rPr>
          <w:szCs w:val="21"/>
        </w:rPr>
      </w:pPr>
      <w:r>
        <w:rPr>
          <w:szCs w:val="21"/>
        </w:rPr>
        <w:fldChar w:fldCharType="begin"/>
      </w:r>
      <w:r>
        <w:rPr>
          <w:szCs w:val="21"/>
        </w:rPr>
        <w:instrText xml:space="preserve"> = 3 \* GB1 \* MERGEFORMAT </w:instrText>
      </w:r>
      <w:r>
        <w:rPr>
          <w:szCs w:val="21"/>
        </w:rPr>
        <w:fldChar w:fldCharType="separate"/>
      </w:r>
      <w:r>
        <w:rPr>
          <w:rFonts w:hint="eastAsia" w:ascii="宋体" w:hAnsi="宋体" w:cs="宋体"/>
        </w:rPr>
        <w:t>⒊</w:t>
      </w:r>
      <w:r>
        <w:rPr>
          <w:szCs w:val="21"/>
        </w:rPr>
        <w:fldChar w:fldCharType="end"/>
      </w:r>
      <w:r>
        <w:rPr>
          <w:szCs w:val="21"/>
        </w:rPr>
        <w:t xml:space="preserve"> 条件成熟时实行免费医疗和免费教育，适量建设保障性住房和特色小区，适量建设休闲娱乐设施，持续精准扶贫，最大程度实现全社会共同富裕。</w:t>
      </w:r>
    </w:p>
    <w:p>
      <w:pPr>
        <w:rPr>
          <w:szCs w:val="21"/>
        </w:rPr>
      </w:pPr>
      <w:r>
        <w:rPr>
          <w:szCs w:val="21"/>
        </w:rPr>
        <w:t>（四）完善国际经济政策</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管理私人部门跨境资本流动、对外投资和融资，保证社会公共财富不流失到国外，这是政府管理的市场经济赖以成立的前提。</w:t>
      </w:r>
    </w:p>
    <w:p>
      <w:pPr>
        <w:widowControl/>
        <w:jc w:val="left"/>
        <w:rPr>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制定合理的汇率与进出口关税，提高国内企业国际竞争力，促进国内产业技术升级，提高经济体禀赋。</w:t>
      </w:r>
    </w:p>
    <w:p>
      <w:pPr>
        <w:rPr>
          <w:szCs w:val="21"/>
        </w:rPr>
      </w:pPr>
    </w:p>
    <w:p>
      <w:r>
        <w:t xml:space="preserve">Abstract: This paper proposes </w:t>
      </w:r>
      <w:r>
        <w:rPr>
          <w:rFonts w:hint="eastAsia"/>
        </w:rPr>
        <w:t>a theoretical framework</w:t>
      </w:r>
      <w:r>
        <w:t xml:space="preserve">: government-managed market economy. </w:t>
      </w:r>
      <w:r>
        <w:rPr>
          <w:rFonts w:hint="eastAsia"/>
          <w:lang w:val="en-US" w:eastAsia="zh-CN"/>
        </w:rPr>
        <w:t xml:space="preserve">It </w:t>
      </w:r>
      <w:r>
        <w:t xml:space="preserve">discusses the mathematical scientific methodology and assumption and builds a </w:t>
      </w:r>
      <w:r>
        <w:rPr>
          <w:rFonts w:hint="eastAsia"/>
        </w:rPr>
        <w:t>government-managed model</w:t>
      </w:r>
      <w:r>
        <w:t xml:space="preserve"> </w:t>
      </w:r>
      <w:r>
        <w:rPr>
          <w:rFonts w:hint="eastAsia"/>
        </w:rPr>
        <w:t xml:space="preserve">by improving the </w:t>
      </w:r>
      <w:r>
        <w:rPr>
          <w:rFonts w:hint="default"/>
        </w:rPr>
        <w:t>underlying</w:t>
      </w:r>
      <w:r>
        <w:rPr>
          <w:rFonts w:hint="eastAsia"/>
        </w:rPr>
        <w:t xml:space="preserve"> assumptions </w:t>
      </w:r>
      <w:r>
        <w:t>o</w:t>
      </w:r>
      <w:r>
        <w:rPr>
          <w:rFonts w:hint="eastAsia"/>
        </w:rPr>
        <w:t xml:space="preserve">f </w:t>
      </w:r>
      <w:r>
        <w:t xml:space="preserve">Neoclassical and Keynesian. This model believes that the market economy does not have an </w:t>
      </w:r>
      <w:r>
        <w:rPr>
          <w:rFonts w:hint="eastAsia"/>
        </w:rPr>
        <w:t xml:space="preserve">optimal equilibrium without government intervene, </w:t>
      </w:r>
      <w:r>
        <w:t>which is different form</w:t>
      </w:r>
      <w:r>
        <w:rPr>
          <w:rFonts w:hint="eastAsia"/>
        </w:rPr>
        <w:t xml:space="preserve"> </w:t>
      </w:r>
      <w:r>
        <w:t>the models of Neoclassical and Keynesian</w:t>
      </w:r>
      <w:r>
        <w:rPr>
          <w:rFonts w:hint="eastAsia"/>
        </w:rPr>
        <w:t xml:space="preserve"> </w:t>
      </w:r>
      <w:r>
        <w:rPr>
          <w:rFonts w:hint="default"/>
        </w:rPr>
        <w:t>school</w:t>
      </w:r>
      <w:r>
        <w:t>. Government policies can reduce</w:t>
      </w:r>
      <w:r>
        <w:rPr>
          <w:rFonts w:hint="eastAsia"/>
        </w:rPr>
        <w:t xml:space="preserve"> unemployment rate,</w:t>
      </w:r>
      <w:r>
        <w:t xml:space="preserve"> </w:t>
      </w:r>
      <w:r>
        <w:rPr>
          <w:rFonts w:hint="eastAsia"/>
        </w:rPr>
        <w:t>improve the society</w:t>
      </w:r>
      <w:r>
        <w:t>’</w:t>
      </w:r>
      <w:r>
        <w:rPr>
          <w:rFonts w:hint="eastAsia"/>
        </w:rPr>
        <w:t>s well-being and the economy</w:t>
      </w:r>
      <w:r>
        <w:t>’</w:t>
      </w:r>
      <w:r>
        <w:rPr>
          <w:rFonts w:hint="eastAsia"/>
        </w:rPr>
        <w:t>s endowments</w:t>
      </w:r>
      <w:r>
        <w:t xml:space="preserve">. </w:t>
      </w:r>
      <w:r>
        <w:rPr>
          <w:rFonts w:hint="eastAsia"/>
        </w:rPr>
        <w:t>Model economy</w:t>
      </w:r>
      <w:r>
        <w:t xml:space="preserve"> can avoid financial crises and smooth economic fluctuations to the greatest extent, but controlling the cross-border flows of private sector capital is a prerequisite for the establishment and existence of the model. This paper gives a completely different explanation  from the mainstream economic theory for China’s remarkable achievements in economy and scientific research in the past 40 years and some other important economic realities and theoretical issues. </w:t>
      </w:r>
    </w:p>
    <w:p>
      <w:r>
        <w:t>Keywords: Methodology; underlying assumptions;</w:t>
      </w:r>
      <w:r>
        <w:rPr>
          <w:rFonts w:hint="eastAsia"/>
        </w:rPr>
        <w:t xml:space="preserve"> </w:t>
      </w:r>
      <w:r>
        <w:t>Mathematical</w:t>
      </w:r>
      <w:r>
        <w:rPr>
          <w:rFonts w:hint="eastAsia"/>
        </w:rPr>
        <w:t xml:space="preserve"> model; </w:t>
      </w:r>
      <w:r>
        <w:t>Government-managed economy; E</w:t>
      </w:r>
      <w:r>
        <w:rPr>
          <w:rFonts w:hint="eastAsia"/>
        </w:rPr>
        <w:t>conomy</w:t>
      </w:r>
      <w:r>
        <w:t>’</w:t>
      </w:r>
      <w:r>
        <w:rPr>
          <w:rFonts w:hint="eastAsia"/>
        </w:rPr>
        <w:t>s endowments</w:t>
      </w:r>
      <w:r>
        <w:t>; Cross boarder capital flow</w:t>
      </w:r>
      <w:r>
        <w:rPr>
          <w:rFonts w:hint="eastAsia"/>
        </w:rPr>
        <w:t xml:space="preserve">; </w:t>
      </w:r>
      <w:r>
        <w:t>E</w:t>
      </w:r>
      <w:r>
        <w:rPr>
          <w:rFonts w:hint="eastAsia"/>
        </w:rPr>
        <w:t>conomic theory framework.</w:t>
      </w:r>
    </w:p>
    <w:p>
      <w:pPr>
        <w:widowControl/>
        <w:ind w:firstLine="0" w:firstLineChars="0"/>
        <w:jc w:val="left"/>
      </w:pPr>
      <w:r>
        <w:br w:type="page"/>
      </w:r>
    </w:p>
    <w:p>
      <w:pPr>
        <w:pStyle w:val="14"/>
        <w:ind w:firstLine="381"/>
        <w:rPr>
          <w:rStyle w:val="43"/>
          <w:bCs w:val="0"/>
          <w:i w:val="0"/>
          <w:iCs w:val="0"/>
        </w:rPr>
      </w:pPr>
      <w:r>
        <w:rPr>
          <w:rStyle w:val="43"/>
          <w:rFonts w:hint="eastAsia"/>
          <w:bCs w:val="0"/>
          <w:i w:val="0"/>
          <w:iCs w:val="0"/>
        </w:rPr>
        <w:t>参考文献</w:t>
      </w:r>
    </w:p>
    <w:p>
      <w:pPr>
        <w:pStyle w:val="34"/>
        <w:ind w:firstLine="400"/>
      </w:pPr>
      <w:r>
        <w:rPr>
          <w:rFonts w:hint="eastAsia"/>
        </w:rPr>
        <w:t xml:space="preserve">丁春燕. (2008). 商业银行不良资产剥离问题研究综述. </w:t>
      </w:r>
      <w:r>
        <w:rPr>
          <w:rFonts w:hint="eastAsia"/>
          <w:i/>
        </w:rPr>
        <w:t>时代经贸(中旬刊)</w:t>
      </w:r>
      <w:r>
        <w:rPr>
          <w:rFonts w:hint="eastAsia"/>
        </w:rPr>
        <w:t xml:space="preserve">(S3), 199-201. </w:t>
      </w:r>
    </w:p>
    <w:p>
      <w:pPr>
        <w:pStyle w:val="34"/>
        <w:ind w:firstLine="400"/>
      </w:pPr>
      <w:r>
        <w:rPr>
          <w:rFonts w:hint="eastAsia"/>
        </w:rPr>
        <w:t xml:space="preserve">付才辉. (2018). 最优生产函数理论——从新古典经济学向新结构经济学的范式转换. </w:t>
      </w:r>
      <w:r>
        <w:rPr>
          <w:rFonts w:hint="eastAsia"/>
          <w:i/>
        </w:rPr>
        <w:t>经济评论</w:t>
      </w:r>
      <w:r>
        <w:rPr>
          <w:rFonts w:hint="eastAsia"/>
        </w:rPr>
        <w:t xml:space="preserve">(01), 3-46. </w:t>
      </w:r>
    </w:p>
    <w:p>
      <w:pPr>
        <w:pStyle w:val="34"/>
        <w:ind w:firstLine="400"/>
      </w:pPr>
      <w:r>
        <w:rPr>
          <w:rFonts w:hint="eastAsia"/>
        </w:rPr>
        <w:t xml:space="preserve">洪永淼. (2021). 理解现代计量经济学. </w:t>
      </w:r>
      <w:r>
        <w:rPr>
          <w:rFonts w:hint="eastAsia"/>
          <w:i/>
        </w:rPr>
        <w:t>计量经济学报, 1</w:t>
      </w:r>
      <w:r>
        <w:rPr>
          <w:rFonts w:hint="eastAsia"/>
        </w:rPr>
        <w:t xml:space="preserve">(02), 266-284. </w:t>
      </w:r>
    </w:p>
    <w:p>
      <w:pPr>
        <w:pStyle w:val="34"/>
        <w:ind w:firstLine="400"/>
      </w:pPr>
      <w:r>
        <w:rPr>
          <w:rFonts w:hint="eastAsia"/>
        </w:rPr>
        <w:t xml:space="preserve">林毅夫. (2011). 新结构经济学——重构发展经济学的框架. </w:t>
      </w:r>
      <w:r>
        <w:rPr>
          <w:rFonts w:hint="eastAsia"/>
          <w:i/>
        </w:rPr>
        <w:t>经济学,</w:t>
      </w:r>
      <w:r>
        <w:rPr>
          <w:i/>
        </w:rPr>
        <w:t xml:space="preserve"> 10</w:t>
      </w:r>
      <w:r>
        <w:t>(01), 1-32. doi:10.13821/j.cnki.ceq.2011.01.014</w:t>
      </w:r>
      <w:r>
        <w:rPr>
          <w:rFonts w:hint="eastAsia"/>
        </w:rPr>
        <w:t>.</w:t>
      </w:r>
    </w:p>
    <w:p>
      <w:pPr>
        <w:pStyle w:val="34"/>
        <w:ind w:firstLine="400"/>
      </w:pPr>
      <w:r>
        <w:rPr>
          <w:rFonts w:hint="eastAsia"/>
        </w:rPr>
        <w:t xml:space="preserve">林毅夫. (2014). 林毅夫:有效市场与有为政府. </w:t>
      </w:r>
      <w:r>
        <w:rPr>
          <w:rFonts w:hint="eastAsia"/>
          <w:i/>
        </w:rPr>
        <w:t>记者观察, No.357</w:t>
      </w:r>
      <w:r>
        <w:rPr>
          <w:rFonts w:hint="eastAsia"/>
        </w:rPr>
        <w:t xml:space="preserve">(01), 62-63. </w:t>
      </w:r>
    </w:p>
    <w:p>
      <w:pPr>
        <w:pStyle w:val="34"/>
        <w:ind w:firstLine="400"/>
      </w:pPr>
      <w:r>
        <w:rPr>
          <w:rFonts w:hint="eastAsia"/>
        </w:rPr>
        <w:t xml:space="preserve">田国强. (2016). 再论有限政府和有为政府. In </w:t>
      </w:r>
      <w:r>
        <w:rPr>
          <w:rFonts w:hint="eastAsia"/>
          <w:i/>
        </w:rPr>
        <w:t>第一财经日报</w:t>
      </w:r>
      <w:r>
        <w:rPr>
          <w:rFonts w:hint="eastAsia"/>
        </w:rPr>
        <w:t>: 上海财经大学.</w:t>
      </w:r>
    </w:p>
    <w:p>
      <w:pPr>
        <w:pStyle w:val="34"/>
        <w:ind w:firstLine="400"/>
      </w:pPr>
      <w:r>
        <w:rPr>
          <w:rFonts w:hint="eastAsia"/>
        </w:rPr>
        <w:t xml:space="preserve">田国强. (2017). 争议产业政策——有限政府,有为政府? </w:t>
      </w:r>
      <w:r>
        <w:rPr>
          <w:rFonts w:hint="eastAsia"/>
          <w:i/>
        </w:rPr>
        <w:t>领导决策信息, No.1050</w:t>
      </w:r>
      <w:r>
        <w:rPr>
          <w:rFonts w:hint="eastAsia"/>
        </w:rPr>
        <w:t xml:space="preserve">(05), 18-19. </w:t>
      </w:r>
    </w:p>
    <w:p>
      <w:pPr>
        <w:pStyle w:val="34"/>
        <w:ind w:firstLine="400"/>
      </w:pPr>
      <w:r>
        <w:fldChar w:fldCharType="begin"/>
      </w:r>
      <w:r>
        <w:instrText xml:space="preserve"> ADDIN EN.REFLIST </w:instrText>
      </w:r>
      <w:r>
        <w:fldChar w:fldCharType="separate"/>
      </w:r>
      <w:r>
        <w:t xml:space="preserve">Adb, A. A., Furceri, D., et al. (2016). The macroeconomic effects of public investment: Evidence from advanced economies. </w:t>
      </w:r>
      <w:r>
        <w:rPr>
          <w:i/>
        </w:rPr>
        <w:t>Journal of Macroeconomics, 50</w:t>
      </w:r>
      <w:r>
        <w:t xml:space="preserve">, 224-240. </w:t>
      </w:r>
    </w:p>
    <w:p>
      <w:pPr>
        <w:pStyle w:val="34"/>
        <w:ind w:firstLine="400"/>
      </w:pPr>
      <w:r>
        <w:t xml:space="preserve">Arrow, K. J. (1971). The economic implications of learning by doing. In </w:t>
      </w:r>
      <w:r>
        <w:rPr>
          <w:i/>
        </w:rPr>
        <w:t>Readings in the Theory of Growth</w:t>
      </w:r>
      <w:r>
        <w:t xml:space="preserve"> (pp. 131-149): Springer.</w:t>
      </w:r>
    </w:p>
    <w:p>
      <w:pPr>
        <w:pStyle w:val="34"/>
        <w:ind w:firstLine="400"/>
      </w:pPr>
      <w:r>
        <w:t xml:space="preserve">Arrow, K. J., and Debreu, G. (1954). Existence of an equilibrium for a competitive economy. </w:t>
      </w:r>
      <w:r>
        <w:rPr>
          <w:i/>
        </w:rPr>
        <w:t>Econometrica: Journal of the Econometric Society</w:t>
      </w:r>
      <w:r>
        <w:t xml:space="preserve">, 265-290. </w:t>
      </w:r>
    </w:p>
    <w:p>
      <w:pPr>
        <w:pStyle w:val="34"/>
        <w:ind w:firstLine="400"/>
      </w:pPr>
      <w:r>
        <w:t xml:space="preserve">Ball, L. M., and Mankiw, N. G. (2021). </w:t>
      </w:r>
      <w:r>
        <w:rPr>
          <w:i/>
        </w:rPr>
        <w:t>Market power in neoclassical growth models</w:t>
      </w:r>
      <w:r>
        <w:t xml:space="preserve">. Retrieved from </w:t>
      </w:r>
    </w:p>
    <w:p>
      <w:pPr>
        <w:pStyle w:val="34"/>
        <w:ind w:firstLine="400"/>
      </w:pPr>
      <w:r>
        <w:t xml:space="preserve">Bernanke, B. S. (2012, 2012). </w:t>
      </w:r>
      <w:r>
        <w:rPr>
          <w:i/>
        </w:rPr>
        <w:t>Monetary Policy since the Onset of the Crisis</w:t>
      </w:r>
      <w:r>
        <w:t>.</w:t>
      </w:r>
    </w:p>
    <w:p>
      <w:pPr>
        <w:pStyle w:val="34"/>
        <w:ind w:firstLine="400"/>
      </w:pPr>
      <w:r>
        <w:t xml:space="preserve">Einstein, A. (2011). </w:t>
      </w:r>
      <w:r>
        <w:rPr>
          <w:i/>
        </w:rPr>
        <w:t>Letters to Solovine, 1906–1955</w:t>
      </w:r>
      <w:r>
        <w:t>: Open Road Media.</w:t>
      </w:r>
    </w:p>
    <w:p>
      <w:pPr>
        <w:pStyle w:val="34"/>
        <w:ind w:firstLine="400"/>
      </w:pPr>
      <w:r>
        <w:t xml:space="preserve">Fernández-Villaverde, J. (2010). The econometrics of DSGE models. </w:t>
      </w:r>
      <w:r>
        <w:rPr>
          <w:i/>
        </w:rPr>
        <w:t>SERIEs, 1</w:t>
      </w:r>
      <w:r>
        <w:t xml:space="preserve">(1), 3-49. </w:t>
      </w:r>
    </w:p>
    <w:p>
      <w:pPr>
        <w:pStyle w:val="34"/>
        <w:ind w:firstLine="400"/>
      </w:pPr>
      <w:r>
        <w:t xml:space="preserve">Friedman, M. (1953). </w:t>
      </w:r>
      <w:r>
        <w:rPr>
          <w:i/>
        </w:rPr>
        <w:t>Essays in positive economics</w:t>
      </w:r>
      <w:r>
        <w:t>: University of Chicago press.</w:t>
      </w:r>
    </w:p>
    <w:p>
      <w:pPr>
        <w:pStyle w:val="34"/>
        <w:ind w:firstLine="400"/>
      </w:pPr>
      <w:r>
        <w:t xml:space="preserve">Grauwe, P. D. (2010). The banking crisis: causes, consequences and remedies. In </w:t>
      </w:r>
      <w:r>
        <w:rPr>
          <w:i/>
        </w:rPr>
        <w:t>The Global Crash</w:t>
      </w:r>
      <w:r>
        <w:t xml:space="preserve"> (pp. 10-31): Springer.</w:t>
      </w:r>
    </w:p>
    <w:p>
      <w:pPr>
        <w:pStyle w:val="34"/>
        <w:ind w:firstLine="400"/>
      </w:pPr>
      <w:r>
        <w:t xml:space="preserve">Hicks, J. R. (1937). Mr. Keynes and the" classics"; a suggested interpretation. </w:t>
      </w:r>
      <w:r>
        <w:rPr>
          <w:i/>
        </w:rPr>
        <w:t>Econometrica: Journal of the Econometric Society</w:t>
      </w:r>
      <w:r>
        <w:t xml:space="preserve">, 147-159. </w:t>
      </w:r>
    </w:p>
    <w:p>
      <w:pPr>
        <w:pStyle w:val="34"/>
        <w:ind w:firstLine="400"/>
      </w:pPr>
      <w:r>
        <w:t xml:space="preserve">House, C. L., and Masatlioglu, Y. (2010). </w:t>
      </w:r>
      <w:r>
        <w:rPr>
          <w:i/>
        </w:rPr>
        <w:t>Managing markets for toxic assets</w:t>
      </w:r>
      <w:r>
        <w:t xml:space="preserve">. Retrieved from </w:t>
      </w:r>
    </w:p>
    <w:p>
      <w:pPr>
        <w:pStyle w:val="34"/>
        <w:ind w:firstLine="400"/>
      </w:pPr>
      <w:r>
        <w:t xml:space="preserve">Keynes, J. M. (1937). The general theory of employment. </w:t>
      </w:r>
      <w:r>
        <w:rPr>
          <w:i/>
        </w:rPr>
        <w:t>The quarterly journal of economics, 51</w:t>
      </w:r>
      <w:r>
        <w:t xml:space="preserve">(2), 209-223. </w:t>
      </w:r>
    </w:p>
    <w:p>
      <w:pPr>
        <w:pStyle w:val="34"/>
        <w:ind w:firstLine="400"/>
      </w:pPr>
      <w:r>
        <w:t xml:space="preserve">Krugman, P. (1979). A model of balance-of-payments crises. </w:t>
      </w:r>
      <w:r>
        <w:rPr>
          <w:i/>
        </w:rPr>
        <w:t>Journal of money, credit and banking, 11</w:t>
      </w:r>
      <w:r>
        <w:t xml:space="preserve">(3), 311-325. </w:t>
      </w:r>
    </w:p>
    <w:p>
      <w:pPr>
        <w:pStyle w:val="34"/>
        <w:ind w:firstLine="400"/>
      </w:pPr>
      <w:r>
        <w:t xml:space="preserve">Lucas Jr, R. E. (1975). An equilibrium model of the business cycle. </w:t>
      </w:r>
      <w:r>
        <w:rPr>
          <w:i/>
        </w:rPr>
        <w:t>Journal of political economy, 83</w:t>
      </w:r>
      <w:r>
        <w:t xml:space="preserve">(6), 1113-1144. </w:t>
      </w:r>
    </w:p>
    <w:p>
      <w:pPr>
        <w:pStyle w:val="34"/>
        <w:ind w:firstLine="400"/>
      </w:pPr>
      <w:r>
        <w:t xml:space="preserve">Lucas Jr, R. E. (1988). On the mechanics of economic development. </w:t>
      </w:r>
      <w:r>
        <w:rPr>
          <w:i/>
        </w:rPr>
        <w:t>Journal of monetary economics, 22</w:t>
      </w:r>
      <w:r>
        <w:t xml:space="preserve">(1), 3-42. </w:t>
      </w:r>
    </w:p>
    <w:p>
      <w:pPr>
        <w:pStyle w:val="34"/>
        <w:ind w:firstLine="400"/>
      </w:pPr>
      <w:r>
        <w:t xml:space="preserve">Phillips, A. W. (1958). The relation between unemployment and the rate of change of money wage rates in the United Kingdom, 1861-1957. </w:t>
      </w:r>
      <w:r>
        <w:rPr>
          <w:i/>
        </w:rPr>
        <w:t>economica, 25</w:t>
      </w:r>
      <w:r>
        <w:t xml:space="preserve">(100), 283-299. </w:t>
      </w:r>
    </w:p>
    <w:p>
      <w:pPr>
        <w:pStyle w:val="34"/>
        <w:ind w:firstLine="400"/>
      </w:pPr>
      <w:r>
        <w:t xml:space="preserve">Romer, P. M. (1990). Endogenous technological change. </w:t>
      </w:r>
      <w:r>
        <w:rPr>
          <w:i/>
        </w:rPr>
        <w:t>Journal of political economy, 98</w:t>
      </w:r>
      <w:r>
        <w:t xml:space="preserve">(5, Part 2), S71-S102. </w:t>
      </w:r>
    </w:p>
    <w:p>
      <w:pPr>
        <w:pStyle w:val="34"/>
        <w:ind w:firstLine="400"/>
      </w:pPr>
      <w:r>
        <w:t xml:space="preserve">Samuelson, P. A., and Nordhaus, W. D. (2012). </w:t>
      </w:r>
      <w:r>
        <w:rPr>
          <w:i/>
        </w:rPr>
        <w:t>Economía</w:t>
      </w:r>
      <w:r>
        <w:t>: AMGH Editora.</w:t>
      </w:r>
    </w:p>
    <w:p>
      <w:pPr>
        <w:pStyle w:val="34"/>
        <w:ind w:firstLine="400"/>
      </w:pPr>
      <w:r>
        <w:t>Smith, A. (1776). An inquiry into the nature and causes of the wealth of nations: Volume One. In: London: printed for W. Strahan; and T. Cadell, 1776.</w:t>
      </w:r>
    </w:p>
    <w:p>
      <w:pPr>
        <w:pStyle w:val="34"/>
        <w:ind w:firstLine="400"/>
      </w:pPr>
      <w:r>
        <w:t xml:space="preserve">Solow, R. M. (1956). A contribution to the theory of economic growth. </w:t>
      </w:r>
      <w:r>
        <w:rPr>
          <w:i/>
        </w:rPr>
        <w:t>The quarterly journal of economics, 70</w:t>
      </w:r>
      <w:r>
        <w:t xml:space="preserve">(1), 65-94. </w:t>
      </w:r>
    </w:p>
    <w:p>
      <w:pPr>
        <w:pStyle w:val="34"/>
        <w:ind w:firstLine="400"/>
      </w:pPr>
      <w:r>
        <w:t xml:space="preserve">Wald, A. (1951). On some systems of equations of mathematical economics. </w:t>
      </w:r>
      <w:r>
        <w:rPr>
          <w:i/>
        </w:rPr>
        <w:t>Econometrica: Journal of the Econometric Society</w:t>
      </w:r>
      <w:r>
        <w:t xml:space="preserve">, 368-403. </w:t>
      </w:r>
    </w:p>
    <w:p>
      <w:pPr>
        <w:pStyle w:val="34"/>
        <w:ind w:firstLine="400"/>
      </w:pPr>
      <w:r>
        <w:t xml:space="preserve">Zhukovskiy, V. I., and Kudryavtsev, K. N. (2016). Pareto-optimal Nash equilibrium: Sufficient conditions and existence in mixed strategies. </w:t>
      </w:r>
      <w:r>
        <w:rPr>
          <w:i/>
        </w:rPr>
        <w:t>Automation and Remote Control, 77</w:t>
      </w:r>
      <w:r>
        <w:t xml:space="preserve">(8), 1500-1510. </w:t>
      </w:r>
    </w:p>
    <w:p>
      <w:pPr>
        <w:pStyle w:val="24"/>
        <w:ind w:firstLine="420"/>
      </w:pPr>
      <w:r>
        <w:fldChar w:fldCharType="end"/>
      </w:r>
      <w:bookmarkEnd w:id="1"/>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pPr>
    </w:p>
    <w:p>
      <w:pPr>
        <w:pStyle w:val="24"/>
        <w:ind w:firstLine="420"/>
        <w:rPr>
          <w:rFonts w:hint="eastAsia"/>
          <w:lang w:eastAsia="zh-CN"/>
        </w:rPr>
      </w:pPr>
    </w:p>
    <w:p>
      <w:pPr>
        <w:numPr>
          <w:ilvl w:val="0"/>
          <w:numId w:val="0"/>
        </w:numPr>
        <w:ind w:firstLine="420" w:firstLineChars="200"/>
        <w:rPr>
          <w:rFonts w:hint="eastAsia"/>
          <w:bCs/>
          <w:szCs w:val="21"/>
          <w:lang w:val="en-US" w:eastAsia="zh-CN"/>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论文概要：</w:t>
      </w:r>
      <w:r>
        <w:rPr>
          <w:rFonts w:hint="eastAsia" w:asciiTheme="minorEastAsia" w:hAnsiTheme="minorEastAsia" w:eastAsiaTheme="minorEastAsia" w:cstheme="minorEastAsia"/>
          <w:sz w:val="21"/>
          <w:szCs w:val="21"/>
        </w:rPr>
        <w:t>中国改革开放以来取得的巨大成就是重大经济理论现象，也是新古典学派的重大困惑。科学是科学家主观构建的关于研究目标发展规律的形式逻辑体系。从科学的角度讲，一个理论的重大困惑往往意味着该理论基础逻辑的重大缺陷，意味着该理论的重大创新需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文首先讨论科学、数学、基本规律假设等方法论基本问题。通过市场的微观机制分析指出投资品商品交换不存在竞争性均衡，非投资品商品交换存在帕累托优化竞争性均衡，商品生产不存在优化竞争性均衡。结合1921年至1939年长达19年的时间里英国失业率始终维持10%以上(Phillips, 1958)的经济现实，本文认为新古典学派关于没有政府干预的市场经济能实现一般均衡，能实现劳动力和社会资本</w:t>
      </w:r>
      <w:r>
        <w:rPr>
          <w:rFonts w:hint="eastAsia" w:asciiTheme="minorEastAsia" w:hAnsiTheme="minorEastAsia" w:eastAsiaTheme="minorEastAsia" w:cstheme="minorEastAsia"/>
          <w:sz w:val="21"/>
          <w:szCs w:val="21"/>
          <w:lang w:val="en-US" w:eastAsia="zh-CN"/>
        </w:rPr>
        <w:t>积累</w:t>
      </w:r>
      <w:r>
        <w:rPr>
          <w:rFonts w:hint="eastAsia" w:asciiTheme="minorEastAsia" w:hAnsiTheme="minorEastAsia" w:eastAsiaTheme="minorEastAsia" w:cstheme="minorEastAsia"/>
          <w:sz w:val="21"/>
          <w:szCs w:val="21"/>
        </w:rPr>
        <w:t>全利用的基本规律假设过强；凯恩斯学派关于政府政策能实现市场</w:t>
      </w:r>
      <w:r>
        <w:rPr>
          <w:rFonts w:hint="default" w:asciiTheme="minorEastAsia" w:hAnsiTheme="minorEastAsia" w:eastAsiaTheme="minorEastAsia" w:cstheme="minorEastAsia"/>
          <w:sz w:val="21"/>
          <w:szCs w:val="21"/>
        </w:rPr>
        <w:t>竞争</w:t>
      </w:r>
      <w:r>
        <w:rPr>
          <w:rFonts w:hint="eastAsia" w:asciiTheme="minorEastAsia" w:hAnsiTheme="minorEastAsia" w:eastAsiaTheme="minorEastAsia" w:cstheme="minorEastAsia"/>
          <w:sz w:val="21"/>
          <w:szCs w:val="21"/>
        </w:rPr>
        <w:t>优化均衡的假设过强。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综合其他学者的研究成果，</w:t>
      </w:r>
      <w:r>
        <w:rPr>
          <w:rFonts w:hint="eastAsia" w:asciiTheme="minorEastAsia" w:hAnsiTheme="minorEastAsia" w:eastAsiaTheme="minorEastAsia" w:cstheme="minorEastAsia"/>
          <w:sz w:val="21"/>
          <w:szCs w:val="21"/>
        </w:rPr>
        <w:t>本文首次提出关于市场经济</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rPr>
        <w:t>三个互相独立的基本规律假设。一，非投资品商品交换能实现帕累托优化竞争性均衡；二，没有政府干预的自由市场难以实现劳动力全利用；三，知识是无限维，任一维为无限大，但一定时间内任一维知识的增长都不会超过某一常数的欧氏空间。在此基础上，本文构建政府管理的市场经济数学模型。模型政府用虚拟的货币体系管理市场经济，财政由货币发行平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索洛模型认为资本积累与人口比例长期存在优化均衡解；希克斯模型认为IS-LM曲线交叉点为均衡利率，对应的是最优政府政策和最优社会产出；本文模型认为不变价格社会产出存在一个由经济体禀赋决定的上限，超过一定范围的政府政策更多引发通货膨胀并造成经济不稳，这构成政府政策的约束。经济体禀赋是本文首次提出的反映经济体资本积累的综合指标，为经济体不变价格社会产出的上限。在保证通货膨胀率在政策目标的前提条件下，政府通过货币政策和政府投资</w:t>
      </w:r>
      <w:r>
        <w:rPr>
          <w:rFonts w:hint="default" w:asciiTheme="minorEastAsia" w:hAnsiTheme="minorEastAsia" w:eastAsiaTheme="minorEastAsia" w:cstheme="minorEastAsia"/>
          <w:sz w:val="21"/>
          <w:szCs w:val="21"/>
        </w:rPr>
        <w:t>及</w:t>
      </w:r>
      <w:r>
        <w:rPr>
          <w:rFonts w:hint="eastAsia" w:asciiTheme="minorEastAsia" w:hAnsiTheme="minorEastAsia" w:eastAsiaTheme="minorEastAsia" w:cstheme="minorEastAsia"/>
          <w:sz w:val="21"/>
          <w:szCs w:val="21"/>
        </w:rPr>
        <w:t>支出调节社会总需求，以最大程度平滑经济波动、最大程度提高经济体禀赋，最大程度挖掘经济体增长潜力。模型政府通过政府投资和支出实现其价值主张如各地区平衡发展、</w:t>
      </w:r>
      <w:r>
        <w:rPr>
          <w:rFonts w:hint="default" w:asciiTheme="minorEastAsia" w:hAnsiTheme="minorEastAsia" w:eastAsiaTheme="minorEastAsia" w:cstheme="minorEastAsia"/>
          <w:sz w:val="21"/>
          <w:szCs w:val="21"/>
        </w:rPr>
        <w:t>青山绿水、美丽家园、</w:t>
      </w:r>
      <w:r>
        <w:rPr>
          <w:rFonts w:hint="eastAsia" w:asciiTheme="minorEastAsia" w:hAnsiTheme="minorEastAsia" w:eastAsiaTheme="minorEastAsia" w:cstheme="minorEastAsia"/>
          <w:sz w:val="21"/>
          <w:szCs w:val="21"/>
        </w:rPr>
        <w:t>共同富裕等。政府应效率与公平兼顾优化投资和支出项目以实现经济体长期可持续高质量稳定发展。模型经济体可免于金融危机和经济危机，但管理私人部门跨境资本流动是其赖以建立与存在的前提。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本文提出的政府管理的市场经济模型成为与新古典学派和凯恩斯学派并列的新的经济理论框架。同希克斯、索洛、罗默、曼昆等的文章一样，本文未对模型进行检验和实证。</w:t>
      </w:r>
    </w:p>
    <w:p>
      <w:pPr>
        <w:ind w:left="0" w:leftChars="0" w:firstLine="0" w:firstLineChars="0"/>
        <w:rPr>
          <w:rFonts w:hint="default"/>
          <w:lang w:eastAsia="zh-CN"/>
        </w:rPr>
      </w:pPr>
    </w:p>
    <w:p>
      <w:pPr>
        <w:widowControl/>
        <w:ind w:firstLine="0" w:firstLineChars="0"/>
        <w:jc w:val="left"/>
      </w:pPr>
      <w:r>
        <w:br w:type="page"/>
      </w:r>
    </w:p>
    <w:p>
      <w:pPr>
        <w:pStyle w:val="16"/>
      </w:pPr>
      <w:r>
        <w:rPr>
          <w:rFonts w:hint="eastAsia"/>
        </w:rPr>
        <w:t>附录</w:t>
      </w:r>
    </w:p>
    <w:p>
      <w:pPr>
        <w:pStyle w:val="2"/>
      </w:pPr>
      <w:r>
        <w:rPr>
          <w:rFonts w:hint="eastAsia"/>
        </w:rPr>
        <w:t>附录</w:t>
      </w:r>
      <w:r>
        <w:rPr>
          <w:rFonts w:hint="eastAsia"/>
        </w:rPr>
        <w:fldChar w:fldCharType="begin"/>
      </w:r>
      <w:r>
        <w:rPr>
          <w:rFonts w:hint="eastAsia"/>
        </w:rPr>
        <w:instrText xml:space="preserve"> = 1 \* Arabic \* MERGEFORMAT </w:instrText>
      </w:r>
      <w:r>
        <w:rPr>
          <w:rFonts w:hint="eastAsia"/>
        </w:rPr>
        <w:fldChar w:fldCharType="separate"/>
      </w:r>
      <w:r>
        <w:t>1</w:t>
      </w:r>
      <w:r>
        <w:rPr>
          <w:rFonts w:hint="eastAsia"/>
        </w:rPr>
        <w:fldChar w:fldCharType="end"/>
      </w:r>
      <w:r>
        <w:t xml:space="preserve"> </w:t>
      </w:r>
      <w:r>
        <w:rPr>
          <w:rFonts w:hint="eastAsia"/>
        </w:rPr>
        <w:t>投资品商品交换不存在竞争性均衡</w:t>
      </w:r>
    </w:p>
    <w:p>
      <w:pPr>
        <w:rPr>
          <w:lang w:bidi="ar"/>
        </w:rPr>
      </w:pPr>
      <w:r>
        <w:t>投资品商品交换是否存在竞争性均衡是一个主观判断问题，只有把投资品商品交换这个客观问题主观定义清楚，才能回答这个问题。本文对投资品的定义为：</w:t>
      </w:r>
      <w:r>
        <w:rPr>
          <w:rFonts w:asciiTheme="minorEastAsia" w:hAnsiTheme="minorEastAsia" w:eastAsiaTheme="minorEastAsia" w:cstheme="minorEastAsia"/>
        </w:rPr>
        <w:t>被交换的次数为无限次的商品为投资品</w:t>
      </w:r>
      <w:r>
        <w:rPr>
          <w:rFonts w:hint="eastAsia" w:asciiTheme="minorEastAsia" w:hAnsiTheme="minorEastAsia" w:eastAsiaTheme="minorEastAsia" w:cstheme="minorEastAsia"/>
        </w:rPr>
        <w:t>商品</w:t>
      </w:r>
      <w:r>
        <w:rPr>
          <w:rFonts w:asciiTheme="minorEastAsia" w:hAnsiTheme="minorEastAsia" w:eastAsiaTheme="minorEastAsia" w:cstheme="minorEastAsia"/>
        </w:rPr>
        <w:t>。</w:t>
      </w:r>
      <w:r>
        <w:rPr>
          <w:rFonts w:hint="eastAsia"/>
          <w:lang w:bidi="ar"/>
        </w:rPr>
        <w:t>萨缪尔</w:t>
      </w:r>
      <w:r>
        <w:rPr>
          <w:lang w:bidi="ar"/>
        </w:rPr>
        <w:t>森</w:t>
      </w:r>
      <w:r>
        <w:rPr>
          <w:rFonts w:hint="eastAsia"/>
          <w:lang w:val="en-US" w:eastAsia="zh-CN" w:bidi="ar"/>
        </w:rPr>
        <w:t>(2012)</w:t>
      </w:r>
      <w:r>
        <w:rPr>
          <w:rFonts w:hint="eastAsia"/>
          <w:lang w:bidi="ar"/>
        </w:rPr>
        <w:t>对</w:t>
      </w:r>
      <w:r>
        <w:rPr>
          <w:lang w:bidi="ar"/>
        </w:rPr>
        <w:t>消费品</w:t>
      </w:r>
      <w:r>
        <w:rPr>
          <w:rFonts w:hint="eastAsia"/>
          <w:lang w:bidi="ar"/>
        </w:rPr>
        <w:t>效用的</w:t>
      </w:r>
      <w:r>
        <w:rPr>
          <w:lang w:bidi="ar"/>
        </w:rPr>
        <w:t>定义是</w:t>
      </w:r>
      <w:r>
        <w:rPr>
          <w:rFonts w:hint="eastAsia"/>
          <w:lang w:bidi="ar"/>
        </w:rPr>
        <w:t>：效用是一种满意度，反映消费者对商品和服务的排序。把萨缪尔</w:t>
      </w:r>
      <w:r>
        <w:rPr>
          <w:lang w:bidi="ar"/>
        </w:rPr>
        <w:t>森</w:t>
      </w:r>
      <w:r>
        <w:rPr>
          <w:rFonts w:hint="eastAsia"/>
          <w:lang w:bidi="ar"/>
        </w:rPr>
        <w:t>关于效用的定义从消费品扩展到投资品</w:t>
      </w:r>
      <w:r>
        <w:rPr>
          <w:lang w:bidi="ar"/>
        </w:rPr>
        <w:t>，本文</w:t>
      </w:r>
      <w:r>
        <w:rPr>
          <w:rFonts w:hint="eastAsia"/>
          <w:lang w:bidi="ar"/>
        </w:rPr>
        <w:t>对投资品效用的定义为：投资品效用是一种满意度，反映投资者对某项投资品的评级和排序。</w:t>
      </w:r>
    </w:p>
    <w:p>
      <w:pPr>
        <w:rPr>
          <w:lang w:bidi="ar"/>
        </w:rPr>
      </w:pPr>
      <w:r>
        <w:rPr>
          <w:lang w:bidi="ar"/>
        </w:rPr>
        <w:t>本文</w:t>
      </w:r>
      <w:r>
        <w:rPr>
          <w:rFonts w:hint="eastAsia"/>
          <w:lang w:bidi="ar"/>
        </w:rPr>
        <w:t>假设不同投资者对同一</w:t>
      </w:r>
      <w:r>
        <w:rPr>
          <w:lang w:bidi="ar"/>
        </w:rPr>
        <w:t>个</w:t>
      </w:r>
      <w:r>
        <w:rPr>
          <w:rFonts w:hint="eastAsia"/>
          <w:lang w:bidi="ar"/>
        </w:rPr>
        <w:t>投资品的主观价值判断不同，并且同一投资者不同时间对同一投资品效用的主观价值判断不同，即投资者对一个投资品效用的主观价值判断是动态变化的。</w:t>
      </w:r>
    </w:p>
    <w:p>
      <w:pPr>
        <w:rPr>
          <w:lang w:bidi="ar"/>
        </w:rPr>
      </w:pPr>
      <w:r>
        <w:rPr>
          <w:lang w:bidi="ar"/>
        </w:rPr>
        <w:t>根据上述对投资品商品交易的定义和假设，本文认为投资品商品交换不存在竞争性均衡，具体阐述过程如下：</w:t>
      </w:r>
    </w:p>
    <w:p>
      <w:pPr>
        <w:rPr>
          <w:lang w:bidi="ar"/>
        </w:rPr>
      </w:pPr>
      <w:r>
        <w:rPr>
          <w:lang w:bidi="ar"/>
        </w:rPr>
        <w:t>因为</w:t>
      </w:r>
      <w:r>
        <w:rPr>
          <w:rFonts w:hint="eastAsia"/>
          <w:lang w:bidi="ar"/>
        </w:rPr>
        <w:t>不同投资者对同一</w:t>
      </w:r>
      <w:r>
        <w:rPr>
          <w:lang w:bidi="ar"/>
        </w:rPr>
        <w:t>个</w:t>
      </w:r>
      <w:r>
        <w:rPr>
          <w:rFonts w:hint="eastAsia"/>
          <w:lang w:bidi="ar"/>
        </w:rPr>
        <w:t>投资品的主观价值判断不同，并且同一投资者不同时间对同一投资品效用的主观价值判断不同</w:t>
      </w:r>
      <w:r>
        <w:rPr>
          <w:lang w:bidi="ar"/>
        </w:rPr>
        <w:t>，因此不同时刻投资品的供应曲线和需求曲线不同，其成交价格不同，</w:t>
      </w:r>
      <w:r>
        <w:rPr>
          <w:rFonts w:hint="eastAsia"/>
          <w:lang w:bidi="ar"/>
        </w:rPr>
        <w:t>如图1-1。</w:t>
      </w:r>
    </w:p>
    <w:p>
      <w:pPr>
        <w:widowControl/>
        <w:ind w:leftChars="-50" w:hanging="105" w:hangingChars="50"/>
        <w:jc w:val="center"/>
        <w:rPr>
          <w:lang w:bidi="ar"/>
        </w:rPr>
      </w:pPr>
      <w:r>
        <w:rPr>
          <w:lang w:bidi="ar"/>
        </w:rPr>
        <w:drawing>
          <wp:inline distT="0" distB="0" distL="0" distR="0">
            <wp:extent cx="2332355" cy="201803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l="23000" t="23257" r="32694" b="8598"/>
                    <a:stretch>
                      <a:fillRect/>
                    </a:stretch>
                  </pic:blipFill>
                  <pic:spPr>
                    <a:xfrm>
                      <a:off x="0" y="0"/>
                      <a:ext cx="2332355" cy="2018140"/>
                    </a:xfrm>
                    <a:prstGeom prst="rect">
                      <a:avLst/>
                    </a:prstGeom>
                    <a:noFill/>
                    <a:ln>
                      <a:noFill/>
                    </a:ln>
                  </pic:spPr>
                </pic:pic>
              </a:graphicData>
            </a:graphic>
          </wp:inline>
        </w:drawing>
      </w:r>
    </w:p>
    <w:p>
      <w:pPr>
        <w:pStyle w:val="5"/>
        <w:ind w:firstLine="360"/>
        <w:rPr>
          <w:lang w:bidi="ar"/>
        </w:rPr>
      </w:pPr>
      <w:r>
        <w:rPr>
          <w:rFonts w:hint="eastAsia"/>
          <w:lang w:bidi="ar"/>
        </w:rPr>
        <w:t>图1-</w:t>
      </w:r>
      <w:r>
        <w:rPr>
          <w:lang w:bidi="ar"/>
        </w:rPr>
        <w:t xml:space="preserve">1 </w:t>
      </w:r>
      <w:r>
        <w:rPr>
          <w:rFonts w:hint="eastAsia"/>
          <w:lang w:bidi="ar"/>
        </w:rPr>
        <w:t>投资品的需求与供应曲线</w:t>
      </w:r>
    </w:p>
    <w:p>
      <w:pPr>
        <w:rPr>
          <w:lang w:bidi="ar"/>
        </w:rPr>
      </w:pPr>
      <w:r>
        <w:rPr>
          <w:lang w:bidi="ar"/>
        </w:rPr>
        <w:t>这样，</w:t>
      </w:r>
      <w:r>
        <w:rPr>
          <w:rFonts w:hint="eastAsia"/>
          <w:lang w:bidi="ar"/>
        </w:rPr>
        <w:t>投资品商品交易不存在一个均衡价格，当</w:t>
      </w:r>
      <w:r>
        <w:rPr>
          <w:lang w:bidi="ar"/>
        </w:rPr>
        <w:t>投资品</w:t>
      </w:r>
      <w:r>
        <w:rPr>
          <w:rFonts w:hint="eastAsia"/>
          <w:lang w:bidi="ar"/>
        </w:rPr>
        <w:t>交易价格偏离</w:t>
      </w:r>
      <w:r>
        <w:rPr>
          <w:lang w:bidi="ar"/>
        </w:rPr>
        <w:t>其</w:t>
      </w:r>
      <w:r>
        <w:rPr>
          <w:rFonts w:hint="eastAsia"/>
          <w:lang w:bidi="ar"/>
        </w:rPr>
        <w:t>均衡价格时市场交换能</w:t>
      </w:r>
      <w:r>
        <w:rPr>
          <w:lang w:bidi="ar"/>
        </w:rPr>
        <w:t>使偏离的</w:t>
      </w:r>
      <w:r>
        <w:rPr>
          <w:rFonts w:hint="eastAsia"/>
          <w:lang w:bidi="ar"/>
        </w:rPr>
        <w:t>交易价格回到均衡价格。</w:t>
      </w:r>
      <w:r>
        <w:rPr>
          <w:lang w:bidi="ar"/>
        </w:rPr>
        <w:t>经济</w:t>
      </w:r>
      <w:r>
        <w:rPr>
          <w:rFonts w:hint="eastAsia"/>
          <w:lang w:bidi="ar"/>
        </w:rPr>
        <w:t>现实中的股票，外汇，黄金等投资品商品交换比较</w:t>
      </w:r>
      <w:r>
        <w:rPr>
          <w:lang w:bidi="ar"/>
        </w:rPr>
        <w:t>符合图1-1的情形，</w:t>
      </w:r>
      <w:r>
        <w:rPr>
          <w:rFonts w:hint="eastAsia"/>
          <w:lang w:bidi="ar"/>
        </w:rPr>
        <w:t>因此</w:t>
      </w:r>
      <w:r>
        <w:rPr>
          <w:lang w:bidi="ar"/>
        </w:rPr>
        <w:t>本</w:t>
      </w:r>
      <w:r>
        <w:rPr>
          <w:rFonts w:hint="eastAsia"/>
          <w:lang w:bidi="ar"/>
        </w:rPr>
        <w:t>附录认为投资品商品交换不存在竞争性均衡。</w:t>
      </w:r>
    </w:p>
    <w:p>
      <w:pPr>
        <w:widowControl/>
        <w:ind w:leftChars="-50" w:hanging="105" w:hangingChars="50"/>
        <w:rPr>
          <w:rFonts w:ascii="宋体" w:hAnsi="宋体" w:cs="宋体"/>
        </w:rPr>
      </w:pPr>
    </w:p>
    <w:p>
      <w:pPr>
        <w:pStyle w:val="2"/>
      </w:pPr>
      <w:r>
        <w:rPr>
          <w:rFonts w:hint="eastAsia"/>
        </w:rPr>
        <w:t>附录</w:t>
      </w:r>
      <w:r>
        <w:rPr>
          <w:rFonts w:hint="eastAsia"/>
        </w:rPr>
        <w:fldChar w:fldCharType="begin"/>
      </w:r>
      <w:r>
        <w:rPr>
          <w:rFonts w:hint="eastAsia"/>
        </w:rPr>
        <w:instrText xml:space="preserve"> = 2 \* Arabic \* MERGEFORMAT </w:instrText>
      </w:r>
      <w:r>
        <w:rPr>
          <w:rFonts w:hint="eastAsia"/>
        </w:rPr>
        <w:fldChar w:fldCharType="separate"/>
      </w:r>
      <w:r>
        <w:t>2</w:t>
      </w:r>
      <w:r>
        <w:rPr>
          <w:rFonts w:hint="eastAsia"/>
        </w:rPr>
        <w:fldChar w:fldCharType="end"/>
      </w:r>
      <w:r>
        <w:t xml:space="preserve"> </w:t>
      </w:r>
      <w:r>
        <w:rPr>
          <w:rFonts w:hint="eastAsia"/>
        </w:rPr>
        <w:t>商品生产不存在</w:t>
      </w:r>
      <w:r>
        <w:t>帕累托</w:t>
      </w:r>
      <w:r>
        <w:rPr>
          <w:rFonts w:hint="eastAsia"/>
        </w:rPr>
        <w:t>优化竞争性均衡</w:t>
      </w:r>
    </w:p>
    <w:p>
      <w:pPr>
        <w:widowControl/>
        <w:jc w:val="left"/>
      </w:pPr>
      <w:r>
        <w:t>同投资品商品交换是否存在竞争性均衡的问题一样，商品生产是否存在帕累托优化竞争性均衡是一个主观问题，只有把商品生产这个客观问题主观定义清楚，才能回答这个问题。</w:t>
      </w:r>
    </w:p>
    <w:p>
      <w:pPr>
        <w:widowControl/>
        <w:jc w:val="left"/>
      </w:pPr>
      <w:r>
        <w:t>阿罗和德布鲁模型关于商品生产存在优化竞争性均衡的条件是每一种商品的生产都符合封闭凸性子集的要求。</w:t>
      </w:r>
    </w:p>
    <w:p>
      <w:pPr>
        <w:widowControl/>
        <w:jc w:val="left"/>
      </w:pPr>
      <w:r>
        <w:t>单个产品生产函数的凸性（convex）指上凸，如图附录2-1，用数学表示为：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f(</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oMath>
            <w:r>
              <w:t>+λf(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)&lt;f(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+λ</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(任何λ&gt;0，</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 xml:space="preserve">&gt;0, </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xml:space="preserve">&gt;0)   </w:t>
            </w:r>
          </w:p>
        </w:tc>
        <w:tc>
          <w:tcPr>
            <w:tcW w:w="930" w:type="dxa"/>
            <w:vAlign w:val="center"/>
          </w:tcPr>
          <w:p>
            <w:pPr>
              <w:ind w:firstLine="0" w:firstLineChars="0"/>
              <w:jc w:val="right"/>
            </w:pPr>
            <w:r>
              <w:t>(2-1)</w:t>
            </w:r>
          </w:p>
        </w:tc>
      </w:tr>
    </w:tbl>
    <w:p>
      <w:pPr>
        <w:widowControl/>
        <w:jc w:val="center"/>
        <w:rPr>
          <w:szCs w:val="21"/>
        </w:rPr>
      </w:pPr>
      <w:r>
        <w:rPr>
          <w:szCs w:val="21"/>
        </w:rPr>
        <w:drawing>
          <wp:inline distT="0" distB="0" distL="0" distR="0">
            <wp:extent cx="2308860" cy="1828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a:extLst>
                        <a:ext uri="{28A0092B-C50C-407E-A947-70E740481C1C}">
                          <a14:useLocalDpi xmlns:a14="http://schemas.microsoft.com/office/drawing/2010/main" val="0"/>
                        </a:ext>
                      </a:extLst>
                    </a:blip>
                    <a:srcRect l="21423" t="26052" r="34713" b="12199"/>
                    <a:stretch>
                      <a:fillRect/>
                    </a:stretch>
                  </pic:blipFill>
                  <pic:spPr>
                    <a:xfrm>
                      <a:off x="0" y="0"/>
                      <a:ext cx="2310163" cy="1829551"/>
                    </a:xfrm>
                    <a:prstGeom prst="rect">
                      <a:avLst/>
                    </a:prstGeom>
                    <a:noFill/>
                    <a:ln>
                      <a:noFill/>
                    </a:ln>
                  </pic:spPr>
                </pic:pic>
              </a:graphicData>
            </a:graphic>
          </wp:inline>
        </w:drawing>
      </w:r>
    </w:p>
    <w:p>
      <w:pPr>
        <w:pStyle w:val="5"/>
        <w:ind w:firstLine="360"/>
        <w:rPr>
          <w:rFonts w:eastAsia="宋体"/>
          <w:lang w:bidi="ar"/>
        </w:rPr>
      </w:pPr>
      <w:r>
        <w:rPr>
          <w:rFonts w:eastAsia="宋体"/>
          <w:lang w:bidi="ar"/>
        </w:rPr>
        <w:t>图2-1 单个产品生产函数曲线图</w:t>
      </w:r>
    </w:p>
    <w:p>
      <w:pPr>
        <w:widowControl/>
        <w:jc w:val="left"/>
        <w:rPr>
          <w:szCs w:val="21"/>
        </w:rPr>
      </w:pPr>
      <w:r>
        <w:rPr>
          <w:szCs w:val="21"/>
        </w:rPr>
        <w:t>假设有两个生产厂家，厂家1和厂家2，分别用原材料</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和</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 xml:space="preserve"> 生产商品f(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 和f(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)，两厂家合计的生产函数为f(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)，当某时刻厂家2的产品销售不出去时，两厂家合计的生产函数f(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)就突然掉下来如附录图2-2。</w:t>
      </w:r>
    </w:p>
    <w:p>
      <w:pPr>
        <w:widowControl/>
        <w:ind w:left="210" w:leftChars="100" w:firstLine="210" w:firstLineChars="100"/>
        <w:jc w:val="center"/>
        <w:rPr>
          <w:szCs w:val="21"/>
        </w:rPr>
      </w:pPr>
      <w:r>
        <w:rPr>
          <w:szCs w:val="21"/>
        </w:rPr>
        <w:drawing>
          <wp:inline distT="0" distB="0" distL="0" distR="0">
            <wp:extent cx="2410460" cy="1858010"/>
            <wp:effectExtent l="0" t="0" r="889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a:extLst>
                        <a:ext uri="{28A0092B-C50C-407E-A947-70E740481C1C}">
                          <a14:useLocalDpi xmlns:a14="http://schemas.microsoft.com/office/drawing/2010/main" val="0"/>
                        </a:ext>
                      </a:extLst>
                    </a:blip>
                    <a:srcRect l="22554" t="25250" r="31645" b="12000"/>
                    <a:stretch>
                      <a:fillRect/>
                    </a:stretch>
                  </pic:blipFill>
                  <pic:spPr>
                    <a:xfrm>
                      <a:off x="0" y="0"/>
                      <a:ext cx="2412225" cy="1859192"/>
                    </a:xfrm>
                    <a:prstGeom prst="rect">
                      <a:avLst/>
                    </a:prstGeom>
                    <a:noFill/>
                    <a:ln>
                      <a:noFill/>
                    </a:ln>
                  </pic:spPr>
                </pic:pic>
              </a:graphicData>
            </a:graphic>
          </wp:inline>
        </w:drawing>
      </w:r>
    </w:p>
    <w:p>
      <w:pPr>
        <w:pStyle w:val="5"/>
        <w:ind w:firstLine="360"/>
        <w:rPr>
          <w:rFonts w:eastAsia="宋体"/>
          <w:lang w:bidi="ar"/>
        </w:rPr>
      </w:pPr>
      <w:r>
        <w:rPr>
          <w:rFonts w:eastAsia="宋体"/>
          <w:lang w:bidi="ar"/>
        </w:rPr>
        <w:t>图2-2 两产品生产函数曲线图</w:t>
      </w:r>
    </w:p>
    <w:p>
      <w:pPr>
        <w:widowControl/>
        <w:ind w:left="210" w:leftChars="100"/>
        <w:jc w:val="left"/>
        <w:rPr>
          <w:szCs w:val="21"/>
        </w:rPr>
      </w:pPr>
      <w:r>
        <w:rPr>
          <w:szCs w:val="21"/>
        </w:rPr>
        <w:t>这种情况下，两厂家合计的生产函数f(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不满足凸性要求。把两家生产厂家扩大到n家，只要有一家生产厂家存在产品销售不出去的情况，该产品的合计生产函数曲线就不满足凸性子集的要求。这样，只要商品生产竞争存在产品销售不出去的情况，则商品生产函数曲线不满足凸性子集要求。</w:t>
      </w:r>
    </w:p>
    <w:p>
      <w:pPr>
        <w:widowControl/>
        <w:jc w:val="left"/>
      </w:pPr>
      <w:r>
        <w:rPr>
          <w:szCs w:val="21"/>
        </w:rPr>
        <w:t>下面通过</w:t>
      </w:r>
      <w:r>
        <w:t>三种典型的商品生产竞争模型分析指出商品生产竞争存在产品销售不出去的情况是普遍现象。</w:t>
      </w:r>
    </w:p>
    <w:p>
      <w:pPr>
        <w:widowControl/>
        <w:jc w:val="left"/>
      </w:pPr>
      <w:r>
        <w:t>商品生产竞争数学模型表达的是一种理想状态的商品生产竞争。商品生产竞争有很多种数学模型，这里我们讨论三种典型的商品生产竞争模型，价格共谋，古诺竞争和伯特兰德竞争。通过这三种典型的理想状态的商品生产竞争来估计现实的商品生产竞争状态。</w:t>
      </w:r>
    </w:p>
    <w:p>
      <w:pPr>
        <w:widowControl/>
        <w:jc w:val="left"/>
      </w:pPr>
      <w:r>
        <w:t>价格共谋商品生产数学模型是各厂商之间共谋控制产量以使各厂商的利润最大化，伯特兰德商品生产竞争数学模型是每个厂商都以最可能的低价去竞争以获得全部市场份额，古诺商品生产竞争模型则以竞争对手产量为给定条件寻求自己最佳产量以使自身利润最大化。下面我们分别推导一定理想条件下N个厂商价格共谋，古诺竞争和伯特兰德竞争三类数学模型的各厂商最佳商品销售量和利润。</w:t>
      </w:r>
    </w:p>
    <w:p>
      <w:r>
        <w:t>（1）N个厂商价格共谋数学模型的各厂商的最优价格，最优销量和最优利润。</w:t>
      </w:r>
    </w:p>
    <w:p>
      <w:r>
        <w:t xml:space="preserve">    理想假设每个厂商的边际单位成本都为常数c，商品的需求函数为线性函数：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w:t>
            </w:r>
          </w:p>
        </w:tc>
      </w:tr>
    </w:tbl>
    <w:p>
      <w:r>
        <w:t>则价格共谋每个厂商的产量相同：</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(2-3)</w:t>
            </w:r>
          </w:p>
        </w:tc>
      </w:tr>
    </w:tbl>
    <w:p>
      <w:r>
        <w:t>共谋总产量为：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=n</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w:p>
        </w:tc>
        <w:tc>
          <w:tcPr>
            <w:tcW w:w="930" w:type="dxa"/>
            <w:vAlign w:val="center"/>
          </w:tcPr>
          <w:p>
            <w:pPr>
              <w:ind w:firstLine="0" w:firstLineChars="0"/>
              <w:jc w:val="right"/>
            </w:pPr>
            <w:r>
              <w:t>(2-4)</w:t>
            </w:r>
          </w:p>
        </w:tc>
      </w:tr>
    </w:tbl>
    <w:p>
      <w:r>
        <w:t>设第一个厂商的利润为：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r>
                    <m:rPr/>
                    <w:rPr>
                      <w:rFonts w:ascii="Cambria Math" w:hAnsi="Cambria Math"/>
                    </w:rPr>
                    <m:t>P</m:t>
                  </m:r>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r>
              <w:t xml:space="preserve">  </w:t>
            </w:r>
          </w:p>
        </w:tc>
        <w:tc>
          <w:tcPr>
            <w:tcW w:w="930" w:type="dxa"/>
            <w:vAlign w:val="center"/>
          </w:tcPr>
          <w:p>
            <w:pPr>
              <w:ind w:firstLine="0" w:firstLineChars="0"/>
              <w:jc w:val="right"/>
            </w:pPr>
            <w:r>
              <w:t>(2-5)</w:t>
            </w:r>
          </w:p>
        </w:tc>
      </w:tr>
    </w:tbl>
    <w:p>
      <w:r>
        <w:t>将公式（2-2）代入公式（2-5）得：</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eastAsia="微软雅黑"/>
                    </w:rPr>
                    <m:t>−</m:t>
                  </m:r>
                  <m:r>
                    <m:rPr/>
                    <w:rPr>
                      <w:rFonts w:ascii="Cambria Math" w:hAnsi="Cambria Math"/>
                    </w:rPr>
                    <m:t>λn</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(2-6)</w:t>
            </w:r>
          </w:p>
        </w:tc>
      </w:tr>
    </w:tbl>
    <w:p>
      <w:r>
        <w:t>共谋厂商根据利润最大化原则确定产量，于是有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
                <m:fPr>
                  <m:ctrlPr>
                    <w:rPr>
                      <w:rFonts w:ascii="Cambria Math" w:hAnsi="Cambria Math"/>
                      <w:i/>
                    </w:rPr>
                  </m:ctrlPr>
                </m:fPr>
                <m:num>
                  <m:r>
                    <m:rPr/>
                    <w:rPr>
                      <w:rFonts w:ascii="Cambria Math" w:hAnsi="Cambria Math"/>
                    </w:rPr>
                    <m:t>∂π</m:t>
                  </m:r>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-2</w:t>
            </w:r>
            <m:oMath>
              <m:r>
                <m:rPr>
                  <m:sty m:val="p"/>
                </m:rPr>
                <w:rPr>
                  <w:rFonts w:ascii="Cambria Math" w:hAnsi="Cambria Math"/>
                </w:rPr>
                <m:t>nλ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=0</w:t>
            </w:r>
          </w:p>
        </w:tc>
        <w:tc>
          <w:tcPr>
            <w:tcW w:w="930" w:type="dxa"/>
            <w:vAlign w:val="center"/>
          </w:tcPr>
          <w:p>
            <w:pPr>
              <w:ind w:firstLine="0" w:firstLineChars="0"/>
              <w:jc w:val="right"/>
            </w:pPr>
            <w:r>
              <w:t>(2-7)</w:t>
            </w:r>
          </w:p>
        </w:tc>
      </w:tr>
    </w:tbl>
    <w:p>
      <w:r>
        <w:t>解得价格共谋数学模型每个厂商的最优产量为：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/2nλ</m:t>
              </m:r>
            </m:oMath>
          </w:p>
        </w:tc>
        <w:tc>
          <w:tcPr>
            <w:tcW w:w="930" w:type="dxa"/>
            <w:vAlign w:val="center"/>
          </w:tcPr>
          <w:p>
            <w:pPr>
              <w:ind w:firstLine="0" w:firstLineChars="0"/>
              <w:jc w:val="right"/>
            </w:pPr>
            <w:r>
              <w:t>(2-8)</w:t>
            </w:r>
          </w:p>
        </w:tc>
      </w:tr>
    </w:tbl>
    <w:p>
      <w:r>
        <w:t>将（附2-8）代入（附2-2）得价格共谋数学模型的最优价格为：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/2</m:t>
              </m:r>
            </m:oMath>
          </w:p>
        </w:tc>
        <w:tc>
          <w:tcPr>
            <w:tcW w:w="930" w:type="dxa"/>
            <w:vAlign w:val="center"/>
          </w:tcPr>
          <w:p>
            <w:pPr>
              <w:ind w:firstLine="0" w:firstLineChars="0"/>
              <w:jc w:val="right"/>
            </w:pPr>
            <w:r>
              <w:t>(2-9)</w:t>
            </w:r>
          </w:p>
        </w:tc>
      </w:tr>
    </w:tbl>
    <w:p>
      <w:r>
        <w:t>因此价格共谋数学模型每个厂商的最优利润为：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/4nλ</m:t>
              </m:r>
            </m:oMath>
          </w:p>
        </w:tc>
        <w:tc>
          <w:tcPr>
            <w:tcW w:w="930" w:type="dxa"/>
            <w:vAlign w:val="center"/>
          </w:tcPr>
          <w:p>
            <w:pPr>
              <w:ind w:firstLine="0" w:firstLineChars="0"/>
              <w:jc w:val="right"/>
            </w:pPr>
            <w:r>
              <w:t>(2-10)</w:t>
            </w:r>
          </w:p>
        </w:tc>
      </w:tr>
    </w:tbl>
    <w:p>
      <w:r>
        <w:t>价格共谋商品生产模型小结：在上述理想条件下价格共谋商品生产数学模型里，随着竞争厂商数量n的增加，每个厂商的最优销量和最优利润将与n成反比下降，具体计算公式为方程（附2-8）和（附2-10），即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的整体利润，而整体利润（</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/4λ</m:t>
        </m:r>
      </m:oMath>
      <w:r>
        <w:t>是固定的。</w:t>
      </w:r>
    </w:p>
    <w:p>
      <w:r>
        <w:t>（2）N个厂商古诺竞争商品生产模型各厂商的优化价格，优化销量和优化利润。</w:t>
      </w:r>
    </w:p>
    <w:p>
      <w:r>
        <w:t>理想假设每个厂商的边际单位成本相同并为常数c，商品的需求函数为线性函数：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(2-11)</w:t>
            </w:r>
          </w:p>
        </w:tc>
      </w:tr>
    </w:tbl>
    <w:p>
      <w:r>
        <w:t>设每个生产商的产量分别为：</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p>
      <w:r>
        <w:t>则总产量为：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Q=</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(2-12)</w:t>
            </w:r>
          </w:p>
        </w:tc>
      </w:tr>
    </w:tbl>
    <w:p>
      <w:r>
        <w:t>各厂商的利润方程分别为：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p>
        </w:tc>
        <w:tc>
          <w:tcPr>
            <w:tcW w:w="930" w:type="dxa"/>
            <w:vAlign w:val="center"/>
          </w:tcPr>
          <w:p>
            <w:pPr>
              <w:ind w:firstLine="0" w:firstLineChars="0"/>
              <w:jc w:val="right"/>
            </w:pPr>
            <w: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tc>
        <w:tc>
          <w:tcPr>
            <w:tcW w:w="930" w:type="dxa"/>
            <w:vAlign w:val="center"/>
          </w:tcPr>
          <w:p>
            <w:pPr>
              <w:ind w:firstLine="0" w:firstLineChars="0"/>
              <w:jc w:val="right"/>
            </w:pPr>
            <w:r>
              <w:t>(2-15)</w:t>
            </w:r>
          </w:p>
        </w:tc>
      </w:tr>
    </w:tbl>
    <w:p>
      <w:r>
        <w:t>将 (附2-11) ，（附2-12）式分别代入 (附2-13)， (附2-14)，（附2-15） 式</w:t>
      </w:r>
    </w:p>
    <w:p>
      <w:r>
        <w:t>可得出每个厂商的利润与产量的相关函数：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1050" w:firstLineChars="500"/>
            </w:pPr>
            <m:oMath>
              <m:r>
                <m:rPr/>
                <w:rPr>
                  <w:rFonts w:ascii="Cambria Math" w:hAnsi="Cambria Math"/>
                </w:rPr>
                <m:t xml:space="preserve">      </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oMath>
          </w:p>
        </w:tc>
        <w:tc>
          <w:tcPr>
            <w:tcW w:w="930" w:type="dxa"/>
            <w:vAlign w:val="center"/>
          </w:tcPr>
          <w:p>
            <w:pPr>
              <w:ind w:firstLine="0" w:firstLineChars="0"/>
              <w:jc w:val="right"/>
            </w:pPr>
          </w:p>
        </w:tc>
      </w:tr>
    </w:tbl>
    <w:p>
      <w:r>
        <w:t>每个厂商根据自身利润最大化原则来调整产量，于是有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jc w:val="center"/>
            </w:pP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r>
                <m:rPr/>
                <w:rPr>
                  <w:rFonts w:ascii="Cambria Math" w:hAnsi="Cambria Math"/>
                  <w:szCs w:val="21"/>
                </w:rPr>
                <m:t xml:space="preserve">  </m:t>
              </m:r>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bl>
    <w:p>
      <w:r>
        <w:t>解得每个厂商的最大产量为：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oMath>
            <w:r>
              <w:t xml:space="preserve"> =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–c) / (n+1)λ</w:t>
            </w:r>
          </w:p>
        </w:tc>
        <w:tc>
          <w:tcPr>
            <w:tcW w:w="930" w:type="dxa"/>
            <w:vAlign w:val="center"/>
          </w:tcPr>
          <w:p>
            <w:pPr>
              <w:ind w:firstLine="0" w:firstLineChars="0"/>
              <w:jc w:val="right"/>
            </w:pPr>
            <w:r>
              <w:t>(2-16)</w:t>
            </w:r>
          </w:p>
        </w:tc>
      </w:tr>
    </w:tbl>
    <w:p>
      <w:r>
        <w:t>解得古诺竞争的最佳价格为：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num>
                <m:den>
                  <m:r>
                    <m:rPr/>
                    <w:rPr>
                      <w:rFonts w:ascii="Cambria Math" w:hAnsi="Cambria Math"/>
                    </w:rPr>
                    <m:t>n+1</m:t>
                  </m:r>
                  <m:ctrlPr>
                    <w:rPr>
                      <w:rFonts w:ascii="Cambria Math" w:hAnsi="Cambria Math"/>
                      <w:i/>
                    </w:rPr>
                  </m:ctrlPr>
                </m:den>
              </m:f>
            </m:oMath>
            <w:r>
              <w:t xml:space="preserve"> +c</w:t>
            </w:r>
            <m:oMath>
              <m:f>
                <m:fPr>
                  <m:ctrlPr>
                    <w:rPr>
                      <w:rFonts w:ascii="Cambria Math" w:hAnsi="Cambria Math"/>
                      <w:i/>
                    </w:rPr>
                  </m:ctrlPr>
                </m:fPr>
                <m:num>
                  <m:r>
                    <m:rPr/>
                    <w:rPr>
                      <w:rFonts w:ascii="Cambria Math" w:hAnsi="Cambria Math"/>
                    </w:rPr>
                    <m:t>n</m:t>
                  </m:r>
                  <m:ctrlPr>
                    <w:rPr>
                      <w:rFonts w:ascii="Cambria Math" w:hAnsi="Cambria Math"/>
                      <w:i/>
                    </w:rPr>
                  </m:ctrlPr>
                </m:num>
                <m:den>
                  <m:r>
                    <m:rPr/>
                    <w:rPr>
                      <w:rFonts w:ascii="Cambria Math" w:hAnsi="Cambria Math"/>
                    </w:rPr>
                    <m:t>n+1</m:t>
                  </m:r>
                  <m:ctrlPr>
                    <w:rPr>
                      <w:rFonts w:ascii="Cambria Math" w:hAnsi="Cambria Math"/>
                      <w:i/>
                    </w:rPr>
                  </m:ctrlPr>
                </m:den>
              </m:f>
            </m:oMath>
          </w:p>
        </w:tc>
        <w:tc>
          <w:tcPr>
            <w:tcW w:w="930" w:type="dxa"/>
            <w:vAlign w:val="center"/>
          </w:tcPr>
          <w:p>
            <w:pPr>
              <w:ind w:firstLine="0" w:firstLineChars="0"/>
              <w:jc w:val="right"/>
            </w:pPr>
            <w:r>
              <w:t>(2-17)</w:t>
            </w:r>
          </w:p>
        </w:tc>
      </w:tr>
    </w:tbl>
    <w:p>
      <w:r>
        <w:t>解得古诺竞争每个厂商的最佳利润为：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eastAsia="微软雅黑"/>
                </w:rPr>
                <m:t>−−−</m:t>
              </m:r>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rPr>
                <w:rFonts w:hint="eastAsia"/>
              </w:rPr>
              <w:t xml:space="preserve"> </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p>
        </w:tc>
        <w:tc>
          <w:tcPr>
            <w:tcW w:w="930" w:type="dxa"/>
            <w:vAlign w:val="center"/>
          </w:tcPr>
          <w:p>
            <w:pPr>
              <w:ind w:firstLine="0" w:firstLineChars="0"/>
              <w:jc w:val="right"/>
            </w:pPr>
            <w:r>
              <w:t>(2-18)</w:t>
            </w:r>
          </w:p>
        </w:tc>
      </w:tr>
    </w:tbl>
    <w:p>
      <w:r>
        <w:t>古诺竞争商品生产模型小结：在上述理想条件下n个厂商的古诺竞争商品生产模型里，各厂商的优化利润随厂商数n量的增加而与n近似成反比下降,具体计算为</w:t>
      </w:r>
      <w:r>
        <w:rPr>
          <w:rFonts w:hint="eastAsia"/>
        </w:rPr>
        <w:t>公式</w:t>
      </w:r>
      <w:r>
        <w:t>2-19</w:t>
      </w:r>
      <w:r>
        <w:rPr>
          <w:rFonts w:hint="eastAsia"/>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p>
        </w:tc>
        <w:tc>
          <w:tcPr>
            <w:tcW w:w="930" w:type="dxa"/>
            <w:vAlign w:val="center"/>
          </w:tcPr>
          <w:p>
            <w:pPr>
              <w:ind w:firstLine="0" w:firstLineChars="0"/>
              <w:jc w:val="right"/>
            </w:pPr>
            <w:r>
              <w:t>(2-19)</w:t>
            </w:r>
          </w:p>
        </w:tc>
      </w:tr>
    </w:tbl>
    <w:p>
      <w:r>
        <w:t>当n足够大时，每个厂商仅获得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的近似不随n改变而变化的整体利润</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t>。因为</w:t>
      </w: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r>
        <w:t xml:space="preserve"> 。</w:t>
      </w:r>
    </w:p>
    <w:p>
      <w:r>
        <w:t>（3）N个厂商伯特兰德竞争商品生产模型各厂商的均衡价格，均衡销量和均衡利润。</w:t>
      </w:r>
    </w:p>
    <w:p>
      <w:pPr>
        <w:ind w:left="210" w:leftChars="100" w:firstLine="210" w:firstLineChars="100"/>
      </w:pPr>
      <w:r>
        <w:t>伯特兰德竞争模型是每个厂商都以最可能的低价去竞争以获得全部市场份额，理想状态下设N个厂商的边际单位成本分别为常数</w:t>
      </w:r>
      <m:oMath>
        <m:r>
          <m:rPr>
            <m:sty m:val="p"/>
          </m:rPr>
          <w:rPr>
            <w:rFonts w:ascii="Cambria Math" w:hAnsi="Cambria Math"/>
          </w:rPr>
          <m:t xml:space="preserve">： </m:t>
        </m:r>
      </m:oMath>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w:r>
              <w:rPr>
                <w:rFonts w:hint="eastAsia" w:ascii="宋体" w:hAnsi="宋体" w:cs="宋体"/>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(2-20)</w:t>
            </w:r>
          </w:p>
        </w:tc>
      </w:tr>
    </w:tbl>
    <w:p>
      <w:r>
        <w:t>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(2-21)</w:t>
            </w:r>
          </w:p>
        </w:tc>
      </w:tr>
    </w:tbl>
    <w:p>
      <w:r>
        <w:t>则市场的均衡价格为第二个厂商的边际成本：</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m:oMathPara>
          </w:p>
        </w:tc>
        <w:tc>
          <w:tcPr>
            <w:tcW w:w="930" w:type="dxa"/>
            <w:vAlign w:val="center"/>
          </w:tcPr>
          <w:p>
            <w:pPr>
              <w:ind w:firstLine="0" w:firstLineChars="0"/>
              <w:jc w:val="right"/>
            </w:pPr>
            <w:r>
              <w:t>(2-22)</w:t>
            </w:r>
          </w:p>
        </w:tc>
      </w:tr>
    </w:tbl>
    <w:p>
      <w:r>
        <w:t>将方程（附2-18）代入方程（附2-17）得第一个厂商的产量方程为：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w:p>
        </w:tc>
        <w:tc>
          <w:tcPr>
            <w:tcW w:w="930" w:type="dxa"/>
            <w:vAlign w:val="center"/>
          </w:tcPr>
          <w:p>
            <w:pPr>
              <w:ind w:firstLine="0" w:firstLineChars="0"/>
              <w:jc w:val="right"/>
            </w:pPr>
            <w:r>
              <w:t>(2-23)</w:t>
            </w:r>
          </w:p>
        </w:tc>
      </w:tr>
    </w:tbl>
    <w:p>
      <w:r>
        <w:t>求得第一个厂商的最佳产量为：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m:oMath>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(2-24)</w:t>
            </w:r>
          </w:p>
        </w:tc>
      </w:tr>
    </w:tbl>
    <w:p>
      <w:r>
        <w:t>第一个厂商的最佳利润为：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rPr>
                  </m:ctrlPr>
                </m:sSubPr>
                <m:e>
                  <m:r>
                    <m:rPr>
                      <m:sty m:val="p"/>
                    </m:rPr>
                    <w:rPr>
                      <w:rFonts w:ascii="Cambria Math" w:hAnsi="Cambria Math"/>
                    </w:rPr>
                    <m:t>π</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(2-25)</w:t>
            </w:r>
          </w:p>
        </w:tc>
      </w:tr>
    </w:tbl>
    <w:p>
      <w:r>
        <w:t>其它厂商的产量为零，利润为零。</w:t>
      </w:r>
    </w:p>
    <w:p>
      <w:r>
        <w:t>伯特兰德竞争商品生产模型小结：在上述理想条件下n个厂商的伯特兰德竞争的数学模型里，成本第一低的厂商获得全部市场份额，市场均衡销售价格为成本第二低厂商的成本</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，成本第一低厂商的单位利润为(</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)。在伯特兰德竞争商品生产模型里，生产成本高的厂商存在产品销售不出去的情况。</w:t>
      </w:r>
    </w:p>
    <w:p>
      <w:r>
        <w:t>在价格共谋和古诺竞争数学模型里，当生产厂家n比较大时，必然有厂家不满足获得1/n总体利润而降价以获得更多的市场份额和利润，因此上述价格共谋和古诺竞争各厂商的产量和利润最优解不是稳定解，即价格共谋和古诺竞争两种商品生产模型不可能长期维持，最终这两种商品生产竞争模型都将走向伯特兰德竞争。</w:t>
      </w:r>
    </w:p>
    <w:p>
      <w:r>
        <w:t>但伯特兰德竞争均衡也是一种理想情况。现实的商品生产竞争不会出现理想状态的伯特兰德竞争均衡，而是古诺竞争与伯特兰德竞争的混合状态。至于怎样的混合状态则由具体商品的综合情况决定。但有一点是肯定的，竞争力弱的厂家将存在产品销售不出去的情况，即该商品合计的生产函数曲线将不满足性凸性子集的要求，不能实现优化竞争性均衡。</w:t>
      </w:r>
    </w:p>
    <w:p>
      <w:r>
        <w:t>从物理意义上讲，市场经济的商品生产竞争是个优胜劣汰机制，必然存在竞争力弱的产品销售不出去的情况，不可能实现帕累托优化竞争性均衡。</w:t>
      </w:r>
    </w:p>
    <w:p>
      <w:r>
        <w:t>综合以上所述，本附录认为商品生产竞争不能实现帕累托优化竞争性均衡。</w:t>
      </w:r>
    </w:p>
    <w:p>
      <w:r>
        <w:t>本附录对商品生产竞争分析还有一个重要结论：社会需求决定社会产出。</w:t>
      </w:r>
    </w:p>
    <w:p>
      <w:pPr>
        <w:pStyle w:val="2"/>
        <w:rPr>
          <w:rFonts w:hint="eastAsia"/>
        </w:rPr>
      </w:pPr>
    </w:p>
    <w:p>
      <w:pPr>
        <w:pStyle w:val="2"/>
      </w:pPr>
      <w:bookmarkStart w:id="4" w:name="_GoBack"/>
      <w:bookmarkEnd w:id="4"/>
      <w:r>
        <w:rPr>
          <w:rFonts w:hint="eastAsia"/>
        </w:rPr>
        <w:t>附录</w:t>
      </w:r>
      <w:r>
        <w:rPr>
          <w:rFonts w:hint="eastAsia"/>
          <w:lang w:val="en-US" w:eastAsia="zh-CN"/>
        </w:rPr>
        <w:t>3</w:t>
      </w:r>
      <w:r>
        <w:t xml:space="preserve"> </w:t>
      </w:r>
      <w:r>
        <w:rPr>
          <w:rFonts w:hint="eastAsia"/>
          <w:lang w:val="en-US" w:eastAsia="zh-CN"/>
        </w:rPr>
        <w:t>本文方法论说明</w:t>
      </w:r>
    </w:p>
    <w:p>
      <w:pPr>
        <w:ind w:left="0" w:leftChars="0" w:firstLine="420" w:firstLineChars="200"/>
        <w:rPr>
          <w:rFonts w:hint="eastAsia" w:cs="宋体"/>
          <w:color w:val="000000"/>
          <w:kern w:val="0"/>
          <w:szCs w:val="21"/>
          <w:lang w:val="en-US" w:eastAsia="zh-CN"/>
        </w:rPr>
      </w:pPr>
      <w:r>
        <w:rPr>
          <w:rFonts w:hint="eastAsia" w:cs="宋体"/>
          <w:color w:val="000000"/>
          <w:kern w:val="0"/>
          <w:szCs w:val="21"/>
          <w:lang w:val="en-US" w:eastAsia="zh-CN"/>
        </w:rPr>
        <w:t>本文从数学化科学方法论的视角对主流经济理论的思想和数学模型做了深入分析，指出其逻辑缺陷或假设过强，提出改进的关于市场经济的基本规律假设，提出新的宏观经济理论数学模型。由于本文有很多创新，特别是方法论创新，因此特做方法论说明。</w:t>
      </w:r>
    </w:p>
    <w:p>
      <w:pPr>
        <w:numPr>
          <w:ilvl w:val="0"/>
          <w:numId w:val="0"/>
        </w:numPr>
        <w:ind w:firstLine="420" w:firstLineChars="200"/>
        <w:rPr>
          <w:rFonts w:hint="default" w:cs="宋体"/>
          <w:color w:val="000000"/>
          <w:kern w:val="0"/>
          <w:szCs w:val="21"/>
          <w:lang w:eastAsia="zh-CN"/>
        </w:rPr>
      </w:pPr>
      <w:r>
        <w:rPr>
          <w:rFonts w:hint="eastAsia" w:cs="宋体"/>
          <w:color w:val="000000"/>
          <w:kern w:val="0"/>
          <w:szCs w:val="21"/>
          <w:lang w:val="en-US" w:eastAsia="zh-CN"/>
        </w:rPr>
        <w:t>1，经济思想</w:t>
      </w:r>
      <w:r>
        <w:rPr>
          <w:rFonts w:hint="default" w:cs="宋体"/>
          <w:color w:val="000000"/>
          <w:kern w:val="0"/>
          <w:szCs w:val="21"/>
          <w:lang w:eastAsia="zh-CN"/>
        </w:rPr>
        <w:t>与数学模型</w:t>
      </w:r>
    </w:p>
    <w:p>
      <w:pPr>
        <w:numPr>
          <w:ilvl w:val="0"/>
          <w:numId w:val="0"/>
        </w:numPr>
        <w:ind w:firstLine="420" w:firstLineChars="200"/>
        <w:rPr>
          <w:rFonts w:hint="eastAsia" w:cs="宋体"/>
          <w:color w:val="000000"/>
          <w:kern w:val="0"/>
          <w:szCs w:val="21"/>
          <w:lang w:eastAsia="zh-CN"/>
        </w:rPr>
      </w:pPr>
      <w:r>
        <w:rPr>
          <w:rFonts w:hint="eastAsia" w:cs="宋体"/>
          <w:color w:val="000000"/>
          <w:kern w:val="0"/>
          <w:szCs w:val="21"/>
          <w:lang w:val="en-US" w:eastAsia="zh-CN"/>
        </w:rPr>
        <w:t>经济理论分两类，一类是经济思想，一类是数学模型。亚当斯密的《国富论》和凯恩斯的《通论》</w:t>
      </w:r>
      <w:r>
        <w:rPr>
          <w:rFonts w:hint="default" w:cs="宋体"/>
          <w:color w:val="000000"/>
          <w:kern w:val="0"/>
          <w:szCs w:val="21"/>
          <w:lang w:eastAsia="zh-CN"/>
        </w:rPr>
        <w:t>属于经济思想</w:t>
      </w:r>
      <w:r>
        <w:rPr>
          <w:rFonts w:hint="eastAsia" w:cs="宋体"/>
          <w:color w:val="000000"/>
          <w:kern w:val="0"/>
          <w:szCs w:val="21"/>
          <w:lang w:eastAsia="zh-CN"/>
        </w:rPr>
        <w:t>。</w:t>
      </w:r>
    </w:p>
    <w:p>
      <w:pPr>
        <w:numPr>
          <w:ilvl w:val="0"/>
          <w:numId w:val="0"/>
        </w:numPr>
        <w:ind w:firstLine="420" w:firstLineChars="200"/>
        <w:rPr>
          <w:rFonts w:hint="eastAsia" w:cs="宋体"/>
          <w:color w:val="000000"/>
          <w:kern w:val="0"/>
          <w:szCs w:val="21"/>
          <w:lang w:val="en-US" w:eastAsia="zh-CN"/>
        </w:rPr>
      </w:pPr>
      <w:r>
        <w:rPr>
          <w:rFonts w:hint="eastAsia" w:cs="宋体"/>
          <w:color w:val="000000"/>
          <w:kern w:val="0"/>
          <w:szCs w:val="21"/>
          <w:lang w:val="en-US" w:eastAsia="zh-CN"/>
        </w:rPr>
        <w:t>在经济思想著作或论文里，</w:t>
      </w:r>
      <w:r>
        <w:rPr>
          <w:rFonts w:hint="default" w:cs="宋体"/>
          <w:color w:val="000000"/>
          <w:kern w:val="0"/>
          <w:szCs w:val="21"/>
          <w:lang w:eastAsia="zh-CN"/>
        </w:rPr>
        <w:t>学</w:t>
      </w:r>
      <w:r>
        <w:rPr>
          <w:rFonts w:hint="eastAsia" w:cs="宋体"/>
          <w:color w:val="000000"/>
          <w:kern w:val="0"/>
          <w:szCs w:val="21"/>
          <w:lang w:val="en-US" w:eastAsia="zh-CN"/>
        </w:rPr>
        <w:t>者根据自己对经济活动的观察和理解，提出关于经济活动</w:t>
      </w:r>
      <w:r>
        <w:rPr>
          <w:rFonts w:hint="default" w:cs="宋体"/>
          <w:color w:val="000000"/>
          <w:kern w:val="0"/>
          <w:szCs w:val="21"/>
          <w:lang w:eastAsia="zh-CN"/>
        </w:rPr>
        <w:t>规律的认知。比如</w:t>
      </w:r>
      <w:r>
        <w:rPr>
          <w:rFonts w:hint="eastAsia" w:cs="宋体"/>
          <w:color w:val="000000"/>
          <w:kern w:val="0"/>
          <w:szCs w:val="21"/>
          <w:lang w:val="en-US" w:eastAsia="zh-CN"/>
        </w:rPr>
        <w:t>《国富论》</w:t>
      </w:r>
      <w:r>
        <w:rPr>
          <w:rFonts w:hint="default" w:cs="宋体"/>
          <w:color w:val="000000"/>
          <w:kern w:val="0"/>
          <w:szCs w:val="21"/>
          <w:lang w:eastAsia="zh-CN"/>
        </w:rPr>
        <w:t>亚当斯密</w:t>
      </w:r>
      <w:r>
        <w:rPr>
          <w:rFonts w:hint="eastAsia" w:cs="宋体"/>
          <w:color w:val="000000"/>
          <w:kern w:val="0"/>
          <w:szCs w:val="21"/>
          <w:lang w:val="en-US" w:eastAsia="zh-CN"/>
        </w:rPr>
        <w:t>关于经济活动</w:t>
      </w:r>
      <w:r>
        <w:rPr>
          <w:rFonts w:hint="default" w:cs="宋体"/>
          <w:color w:val="000000"/>
          <w:kern w:val="0"/>
          <w:szCs w:val="21"/>
          <w:lang w:eastAsia="zh-CN"/>
        </w:rPr>
        <w:t>规律的认知是：</w:t>
      </w:r>
      <w:r>
        <w:rPr>
          <w:rFonts w:hint="eastAsia" w:cs="宋体"/>
          <w:color w:val="000000"/>
          <w:kern w:val="0"/>
          <w:szCs w:val="21"/>
          <w:lang w:val="en-US" w:eastAsia="zh-CN"/>
        </w:rPr>
        <w:t>在简单政府的经济体系里，通过劳动力社会分工和市场看不见手的调节，</w:t>
      </w:r>
      <w:r>
        <w:rPr>
          <w:rFonts w:hint="default" w:cs="宋体"/>
          <w:color w:val="000000"/>
          <w:kern w:val="0"/>
          <w:szCs w:val="21"/>
          <w:lang w:eastAsia="zh-CN"/>
        </w:rPr>
        <w:t>市场</w:t>
      </w:r>
      <w:r>
        <w:rPr>
          <w:rFonts w:hint="eastAsia" w:cs="宋体"/>
          <w:color w:val="000000"/>
          <w:kern w:val="0"/>
          <w:szCs w:val="21"/>
          <w:lang w:val="en-US" w:eastAsia="zh-CN"/>
        </w:rPr>
        <w:t>经济会得到很好的发展。《通论》</w:t>
      </w:r>
      <w:r>
        <w:rPr>
          <w:rFonts w:hint="default" w:cs="宋体"/>
          <w:color w:val="000000"/>
          <w:kern w:val="0"/>
          <w:szCs w:val="21"/>
          <w:lang w:eastAsia="zh-CN"/>
        </w:rPr>
        <w:t>凯恩斯关于经济活动的认知是：（当时）</w:t>
      </w:r>
      <w:r>
        <w:rPr>
          <w:rFonts w:hint="eastAsia" w:cs="宋体"/>
          <w:color w:val="000000"/>
          <w:kern w:val="0"/>
          <w:szCs w:val="21"/>
          <w:lang w:val="en-US" w:eastAsia="zh-CN"/>
        </w:rPr>
        <w:t>主流经济理论</w:t>
      </w:r>
      <w:r>
        <w:rPr>
          <w:rFonts w:hint="default" w:cs="宋体"/>
          <w:color w:val="000000"/>
          <w:kern w:val="0"/>
          <w:szCs w:val="21"/>
          <w:lang w:eastAsia="zh-CN"/>
        </w:rPr>
        <w:t>对经济活动规律的认知</w:t>
      </w:r>
      <w:r>
        <w:rPr>
          <w:rFonts w:hint="eastAsia" w:cs="宋体"/>
          <w:color w:val="000000"/>
          <w:kern w:val="0"/>
          <w:szCs w:val="21"/>
          <w:lang w:val="en-US" w:eastAsia="zh-CN"/>
        </w:rPr>
        <w:t>是一种理想状态</w:t>
      </w:r>
      <w:r>
        <w:rPr>
          <w:rFonts w:hint="default" w:cs="宋体"/>
          <w:color w:val="000000"/>
          <w:kern w:val="0"/>
          <w:szCs w:val="21"/>
          <w:lang w:eastAsia="zh-CN"/>
        </w:rPr>
        <w:t>，</w:t>
      </w:r>
      <w:r>
        <w:rPr>
          <w:rFonts w:hint="eastAsia" w:cs="宋体"/>
          <w:color w:val="000000"/>
          <w:kern w:val="0"/>
          <w:szCs w:val="21"/>
          <w:lang w:val="en-US" w:eastAsia="zh-CN"/>
        </w:rPr>
        <w:t>现实经济活动由于工资粘性，信息不对称，人不理性等原因将会出现失业等现象，政府</w:t>
      </w:r>
      <w:r>
        <w:rPr>
          <w:rFonts w:hint="default" w:cs="宋体"/>
          <w:color w:val="000000"/>
          <w:kern w:val="0"/>
          <w:szCs w:val="21"/>
          <w:lang w:eastAsia="zh-CN"/>
        </w:rPr>
        <w:t>通过加大</w:t>
      </w:r>
      <w:r>
        <w:rPr>
          <w:rFonts w:hint="eastAsia" w:cs="宋体"/>
          <w:color w:val="000000"/>
          <w:kern w:val="0"/>
          <w:szCs w:val="21"/>
          <w:lang w:val="en-US" w:eastAsia="zh-CN"/>
        </w:rPr>
        <w:t>支出扩大社会需求</w:t>
      </w:r>
      <w:r>
        <w:rPr>
          <w:rFonts w:hint="default" w:cs="宋体"/>
          <w:color w:val="000000"/>
          <w:kern w:val="0"/>
          <w:szCs w:val="21"/>
          <w:lang w:eastAsia="zh-CN"/>
        </w:rPr>
        <w:t>可以</w:t>
      </w:r>
      <w:r>
        <w:rPr>
          <w:rFonts w:hint="eastAsia" w:cs="宋体"/>
          <w:color w:val="000000"/>
          <w:kern w:val="0"/>
          <w:szCs w:val="21"/>
          <w:lang w:val="en-US" w:eastAsia="zh-CN"/>
        </w:rPr>
        <w:t>减少失业率。</w:t>
      </w:r>
    </w:p>
    <w:p>
      <w:pPr>
        <w:numPr>
          <w:ilvl w:val="0"/>
          <w:numId w:val="0"/>
        </w:numPr>
        <w:ind w:firstLine="420" w:firstLineChars="200"/>
        <w:rPr>
          <w:rFonts w:hint="eastAsia" w:cs="宋体"/>
          <w:color w:val="000000"/>
          <w:kern w:val="0"/>
          <w:szCs w:val="21"/>
          <w:lang w:val="en-US" w:eastAsia="zh-CN"/>
        </w:rPr>
      </w:pPr>
      <w:r>
        <w:rPr>
          <w:rFonts w:hint="default" w:cs="宋体"/>
          <w:color w:val="000000"/>
          <w:kern w:val="0"/>
          <w:szCs w:val="21"/>
          <w:lang w:eastAsia="zh-CN"/>
        </w:rPr>
        <w:t>经济思想</w:t>
      </w:r>
      <w:r>
        <w:rPr>
          <w:rFonts w:hint="eastAsia" w:cs="宋体"/>
          <w:color w:val="000000"/>
          <w:kern w:val="0"/>
          <w:szCs w:val="21"/>
          <w:lang w:val="en-US" w:eastAsia="zh-CN"/>
        </w:rPr>
        <w:t>著作或论文的特点是</w:t>
      </w:r>
      <w:r>
        <w:rPr>
          <w:rFonts w:hint="default" w:cs="宋体"/>
          <w:color w:val="000000"/>
          <w:kern w:val="0"/>
          <w:szCs w:val="21"/>
          <w:lang w:eastAsia="zh-CN"/>
        </w:rPr>
        <w:t>没有</w:t>
      </w:r>
      <w:r>
        <w:rPr>
          <w:rFonts w:hint="eastAsia" w:cs="宋体"/>
          <w:color w:val="000000"/>
          <w:kern w:val="0"/>
          <w:szCs w:val="21"/>
          <w:lang w:val="en-US" w:eastAsia="zh-CN"/>
        </w:rPr>
        <w:t>对研究</w:t>
      </w:r>
      <w:r>
        <w:rPr>
          <w:rFonts w:hint="default" w:cs="宋体"/>
          <w:color w:val="000000"/>
          <w:kern w:val="0"/>
          <w:szCs w:val="21"/>
          <w:lang w:eastAsia="zh-CN"/>
        </w:rPr>
        <w:t>目标做</w:t>
      </w:r>
      <w:r>
        <w:rPr>
          <w:rFonts w:hint="eastAsia" w:cs="宋体"/>
          <w:color w:val="000000"/>
          <w:kern w:val="0"/>
          <w:szCs w:val="21"/>
          <w:lang w:val="en-US" w:eastAsia="zh-CN"/>
        </w:rPr>
        <w:t>数学意义上</w:t>
      </w:r>
      <w:r>
        <w:rPr>
          <w:rFonts w:hint="default" w:cs="宋体"/>
          <w:color w:val="000000"/>
          <w:kern w:val="0"/>
          <w:szCs w:val="21"/>
          <w:lang w:eastAsia="zh-CN"/>
        </w:rPr>
        <w:t>的理想简化，无法</w:t>
      </w:r>
      <w:r>
        <w:rPr>
          <w:rFonts w:hint="eastAsia" w:cs="宋体"/>
          <w:color w:val="000000"/>
          <w:kern w:val="0"/>
          <w:szCs w:val="21"/>
          <w:lang w:val="en-US" w:eastAsia="zh-CN"/>
        </w:rPr>
        <w:t>对经济活动</w:t>
      </w:r>
      <w:r>
        <w:rPr>
          <w:rFonts w:hint="default" w:cs="宋体"/>
          <w:color w:val="000000"/>
          <w:kern w:val="0"/>
          <w:szCs w:val="21"/>
          <w:lang w:eastAsia="zh-CN"/>
        </w:rPr>
        <w:t>规律做</w:t>
      </w:r>
      <w:r>
        <w:rPr>
          <w:rFonts w:hint="eastAsia" w:cs="宋体"/>
          <w:color w:val="000000"/>
          <w:kern w:val="0"/>
          <w:szCs w:val="21"/>
          <w:lang w:val="en-US" w:eastAsia="zh-CN"/>
        </w:rPr>
        <w:t>数学意义上</w:t>
      </w:r>
      <w:r>
        <w:rPr>
          <w:rFonts w:hint="default" w:cs="宋体"/>
          <w:color w:val="000000"/>
          <w:kern w:val="0"/>
          <w:szCs w:val="21"/>
          <w:lang w:eastAsia="zh-CN"/>
        </w:rPr>
        <w:t>的</w:t>
      </w:r>
      <w:r>
        <w:rPr>
          <w:rFonts w:hint="eastAsia" w:cs="宋体"/>
          <w:color w:val="000000"/>
          <w:kern w:val="0"/>
          <w:szCs w:val="21"/>
          <w:lang w:val="en-US" w:eastAsia="zh-CN"/>
        </w:rPr>
        <w:t>严格表达</w:t>
      </w:r>
      <w:r>
        <w:rPr>
          <w:rFonts w:hint="default" w:cs="宋体"/>
          <w:color w:val="000000"/>
          <w:kern w:val="0"/>
          <w:szCs w:val="21"/>
          <w:lang w:eastAsia="zh-CN"/>
        </w:rPr>
        <w:t>，无法对经济活动的其它规律用数学逻辑演绎出来</w:t>
      </w:r>
      <w:r>
        <w:rPr>
          <w:rFonts w:hint="eastAsia" w:cs="宋体"/>
          <w:color w:val="000000"/>
          <w:kern w:val="0"/>
          <w:szCs w:val="21"/>
          <w:lang w:val="en-US" w:eastAsia="zh-CN"/>
        </w:rPr>
        <w:t>。比如《国富论》对经济规律的阐述很模糊。由于这个原因，现代经济学</w:t>
      </w:r>
      <w:r>
        <w:rPr>
          <w:rFonts w:hint="default" w:cs="宋体"/>
          <w:color w:val="000000"/>
          <w:kern w:val="0"/>
          <w:szCs w:val="21"/>
          <w:lang w:eastAsia="zh-CN"/>
        </w:rPr>
        <w:t>，特别是西方主流经济理论</w:t>
      </w:r>
      <w:r>
        <w:rPr>
          <w:rFonts w:hint="eastAsia" w:cs="宋体"/>
          <w:color w:val="000000"/>
          <w:kern w:val="0"/>
          <w:szCs w:val="21"/>
          <w:lang w:val="en-US" w:eastAsia="zh-CN"/>
        </w:rPr>
        <w:t>一般都不</w:t>
      </w:r>
      <w:r>
        <w:rPr>
          <w:rFonts w:hint="default" w:cs="宋体"/>
          <w:color w:val="000000"/>
          <w:kern w:val="0"/>
          <w:szCs w:val="21"/>
          <w:lang w:eastAsia="zh-CN"/>
        </w:rPr>
        <w:t>再</w:t>
      </w:r>
      <w:r>
        <w:rPr>
          <w:rFonts w:hint="eastAsia" w:cs="宋体"/>
          <w:color w:val="000000"/>
          <w:kern w:val="0"/>
          <w:szCs w:val="21"/>
          <w:lang w:val="en-US" w:eastAsia="zh-CN"/>
        </w:rPr>
        <w:t>采用经济思想这种方式。</w:t>
      </w:r>
    </w:p>
    <w:p>
      <w:pPr>
        <w:numPr>
          <w:ilvl w:val="0"/>
          <w:numId w:val="0"/>
        </w:numPr>
        <w:rPr>
          <w:rFonts w:hint="default" w:cs="宋体"/>
          <w:color w:val="000000"/>
          <w:kern w:val="0"/>
          <w:szCs w:val="21"/>
          <w:lang w:eastAsia="zh-CN"/>
        </w:rPr>
      </w:pPr>
      <w:r>
        <w:rPr>
          <w:rFonts w:hint="default" w:cs="宋体"/>
          <w:color w:val="000000"/>
          <w:kern w:val="0"/>
          <w:szCs w:val="21"/>
          <w:lang w:eastAsia="zh-CN"/>
        </w:rPr>
        <w:t xml:space="preserve">    西方主流经济理论一般采用数学模型表述。首先把各经济主体抽象成高度理想和简化的数学体，使经济变量可以用数学符号表述，经济活动规律可以用经济变量的函数和方程表述。这样的经济理论实质上是一个把经济活动抽象成数学体并用数学逻辑语言表述经济活动规律的形式逻辑体系。</w:t>
      </w:r>
    </w:p>
    <w:p>
      <w:pPr>
        <w:widowControl w:val="0"/>
        <w:numPr>
          <w:ilvl w:val="0"/>
          <w:numId w:val="1"/>
        </w:numPr>
        <w:ind w:left="420" w:leftChars="0" w:firstLine="0" w:firstLineChars="0"/>
        <w:jc w:val="both"/>
        <w:rPr>
          <w:rFonts w:hint="eastAsia" w:cs="宋体"/>
          <w:color w:val="000000"/>
          <w:kern w:val="0"/>
          <w:szCs w:val="21"/>
          <w:lang w:val="en-US" w:eastAsia="zh-CN"/>
        </w:rPr>
      </w:pPr>
      <w:r>
        <w:rPr>
          <w:rFonts w:hint="eastAsia" w:cs="宋体"/>
          <w:color w:val="000000"/>
          <w:kern w:val="0"/>
          <w:szCs w:val="21"/>
          <w:lang w:val="en-US" w:eastAsia="zh-CN"/>
        </w:rPr>
        <w:t>科学</w:t>
      </w:r>
      <w:r>
        <w:rPr>
          <w:rFonts w:hint="default" w:cs="宋体"/>
          <w:color w:val="000000"/>
          <w:kern w:val="0"/>
          <w:szCs w:val="21"/>
          <w:lang w:eastAsia="zh-CN"/>
        </w:rPr>
        <w:t>、数学与形式逻辑</w:t>
      </w:r>
    </w:p>
    <w:p>
      <w:pPr>
        <w:widowControl w:val="0"/>
        <w:numPr>
          <w:ilvl w:val="0"/>
          <w:numId w:val="0"/>
        </w:numPr>
        <w:ind w:left="0" w:leftChars="0" w:firstLine="0" w:firstLineChars="0"/>
        <w:jc w:val="both"/>
        <w:rPr>
          <w:rFonts w:hint="eastAsia" w:asciiTheme="minorEastAsia" w:hAnsiTheme="minorEastAsia" w:eastAsiaTheme="minorEastAsia" w:cstheme="minorEastAsia"/>
          <w:b w:val="0"/>
          <w:bCs w:val="0"/>
          <w:color w:val="231F20"/>
          <w:sz w:val="21"/>
          <w:szCs w:val="21"/>
          <w:lang w:val="en-US" w:eastAsia="zh-CN"/>
        </w:rPr>
      </w:pPr>
      <w:r>
        <w:rPr>
          <w:rFonts w:hint="default" w:cs="宋体"/>
          <w:color w:val="000000"/>
          <w:kern w:val="0"/>
          <w:szCs w:val="21"/>
          <w:lang w:eastAsia="zh-CN"/>
        </w:rPr>
        <w:t xml:space="preserve">    经济理论是科学的学科之一。要更好地理解经济理论需要首先理解科学。</w:t>
      </w:r>
      <w:r>
        <w:rPr>
          <w:rFonts w:hint="eastAsia" w:cs="宋体"/>
          <w:color w:val="000000"/>
          <w:kern w:val="0"/>
          <w:szCs w:val="21"/>
          <w:lang w:val="en-US" w:eastAsia="zh-CN"/>
        </w:rPr>
        <w:t>关于什么是科学至今没有统一的论述。本文认为爱因斯坦关于科学的论述有一定的启发意义。爱因斯坦说，“</w:t>
      </w:r>
      <w:r>
        <w:rPr>
          <w:rFonts w:hint="eastAsia" w:asciiTheme="minorEastAsia" w:hAnsiTheme="minorEastAsia" w:eastAsiaTheme="minorEastAsia" w:cstheme="minorEastAsia"/>
          <w:b w:val="0"/>
          <w:bCs w:val="0"/>
          <w:color w:val="231F20"/>
          <w:sz w:val="21"/>
          <w:szCs w:val="21"/>
          <w:lang w:val="en-US" w:eastAsia="zh-CN"/>
        </w:rPr>
        <w:t>Development of Western science is based on two great achievements:the invention of the formal logical system&lt;in Euclidean geometry&gt;by the Greek philosophers, and the discovery of the possibility to find out causal relationships by systematic experiment &lt;during the Renaissance.&gt;”</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eastAsia="zh-CN"/>
        </w:rPr>
      </w:pPr>
      <w:r>
        <w:rPr>
          <w:rFonts w:hint="eastAsia" w:asciiTheme="minorEastAsia" w:hAnsiTheme="minorEastAsia" w:eastAsiaTheme="minorEastAsia" w:cstheme="minorEastAsia"/>
          <w:b w:val="0"/>
          <w:bCs w:val="0"/>
          <w:color w:val="231F20"/>
          <w:sz w:val="21"/>
          <w:szCs w:val="21"/>
          <w:lang w:val="en-US" w:eastAsia="zh-CN"/>
        </w:rPr>
        <w:t>根据爱因斯坦关于科学的论述，本文认为科学包括两个重要方面，一是以欧几里德几何为表现形式的形式逻辑，二是实验数据对逻辑的</w:t>
      </w:r>
      <w:r>
        <w:rPr>
          <w:rFonts w:hint="default" w:asciiTheme="minorEastAsia" w:hAnsiTheme="minorEastAsia" w:eastAsiaTheme="minorEastAsia" w:cstheme="minorEastAsia"/>
          <w:b w:val="0"/>
          <w:bCs w:val="0"/>
          <w:color w:val="231F20"/>
          <w:sz w:val="21"/>
          <w:szCs w:val="21"/>
          <w:lang w:eastAsia="zh-CN"/>
        </w:rPr>
        <w:t>检验和</w:t>
      </w:r>
      <w:r>
        <w:rPr>
          <w:rFonts w:hint="eastAsia" w:asciiTheme="minorEastAsia" w:hAnsiTheme="minorEastAsia" w:eastAsiaTheme="minorEastAsia" w:cstheme="minorEastAsia"/>
          <w:b w:val="0"/>
          <w:bCs w:val="0"/>
          <w:color w:val="231F20"/>
          <w:sz w:val="21"/>
          <w:szCs w:val="21"/>
          <w:lang w:val="en-US" w:eastAsia="zh-CN"/>
        </w:rPr>
        <w:t>实证。欧几里德</w:t>
      </w:r>
      <w:r>
        <w:rPr>
          <w:rFonts w:hint="default" w:asciiTheme="minorEastAsia" w:hAnsiTheme="minorEastAsia" w:eastAsiaTheme="minorEastAsia" w:cstheme="minorEastAsia"/>
          <w:b w:val="0"/>
          <w:bCs w:val="0"/>
          <w:color w:val="231F20"/>
          <w:sz w:val="21"/>
          <w:szCs w:val="21"/>
          <w:lang w:eastAsia="zh-CN"/>
        </w:rPr>
        <w:t>几何对点、线、面等做数学意义上的理想简化，提出若干关于点、线、面的公理，然后推导各种点、线、面之间的规律。</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eastAsia="zh-CN"/>
        </w:rPr>
      </w:pPr>
      <w:r>
        <w:rPr>
          <w:rFonts w:hint="default" w:asciiTheme="minorEastAsia" w:hAnsiTheme="minorEastAsia" w:eastAsiaTheme="minorEastAsia" w:cstheme="minorEastAsia"/>
          <w:b w:val="0"/>
          <w:bCs w:val="0"/>
          <w:color w:val="231F20"/>
          <w:sz w:val="21"/>
          <w:szCs w:val="21"/>
          <w:lang w:eastAsia="zh-CN"/>
        </w:rPr>
        <w:t>现代数学是对欧几里德几何的扩充，表述数学抽象意义上理想事物之间的逻辑关系。科学理论则是科学家们主观构建的关于某研究目标发展规律用数学符号、函数和方程表述的形式逻辑体系。科学理论的构建，首先得把研究目标做数学意义上的理想简化。</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eastAsia="zh-CN"/>
        </w:rPr>
      </w:pPr>
      <w:r>
        <w:rPr>
          <w:rFonts w:hint="default" w:asciiTheme="minorEastAsia" w:hAnsiTheme="minorEastAsia" w:eastAsiaTheme="minorEastAsia" w:cstheme="minorEastAsia"/>
          <w:b w:val="0"/>
          <w:bCs w:val="0"/>
          <w:color w:val="231F20"/>
          <w:sz w:val="21"/>
          <w:szCs w:val="21"/>
          <w:lang w:eastAsia="zh-CN"/>
        </w:rPr>
        <w:t>形式逻辑是规范的逻辑体系，涉及逻辑前提，或基础逻辑。逻辑前提或基础逻辑在</w:t>
      </w:r>
      <w:r>
        <w:rPr>
          <w:rFonts w:hint="eastAsia" w:asciiTheme="minorEastAsia" w:hAnsiTheme="minorEastAsia" w:eastAsiaTheme="minorEastAsia" w:cstheme="minorEastAsia"/>
          <w:b w:val="0"/>
          <w:bCs w:val="0"/>
          <w:color w:val="231F20"/>
          <w:sz w:val="21"/>
          <w:szCs w:val="21"/>
          <w:lang w:val="en-US" w:eastAsia="zh-CN"/>
        </w:rPr>
        <w:t>欧几里德几何</w:t>
      </w:r>
      <w:r>
        <w:rPr>
          <w:rFonts w:hint="default" w:asciiTheme="minorEastAsia" w:hAnsiTheme="minorEastAsia" w:eastAsiaTheme="minorEastAsia" w:cstheme="minorEastAsia"/>
          <w:b w:val="0"/>
          <w:bCs w:val="0"/>
          <w:color w:val="231F20"/>
          <w:sz w:val="21"/>
          <w:szCs w:val="21"/>
          <w:lang w:eastAsia="zh-CN"/>
        </w:rPr>
        <w:t>里被称为</w:t>
      </w:r>
      <w:r>
        <w:rPr>
          <w:rFonts w:hint="eastAsia" w:asciiTheme="minorEastAsia" w:hAnsiTheme="minorEastAsia" w:eastAsiaTheme="minorEastAsia" w:cstheme="minorEastAsia"/>
          <w:b w:val="0"/>
          <w:bCs w:val="0"/>
          <w:color w:val="231F20"/>
          <w:sz w:val="21"/>
          <w:szCs w:val="21"/>
          <w:lang w:val="en-US" w:eastAsia="zh-CN"/>
        </w:rPr>
        <w:t>公理，</w:t>
      </w:r>
      <w:r>
        <w:rPr>
          <w:rFonts w:hint="default" w:asciiTheme="minorEastAsia" w:hAnsiTheme="minorEastAsia" w:eastAsiaTheme="minorEastAsia" w:cstheme="minorEastAsia"/>
          <w:b w:val="0"/>
          <w:bCs w:val="0"/>
          <w:color w:val="231F20"/>
          <w:sz w:val="21"/>
          <w:szCs w:val="21"/>
          <w:lang w:eastAsia="zh-CN"/>
        </w:rPr>
        <w:t>独立同分布是概率和统计学的公理，任何数学学科都存在作为逻辑前提或基础逻辑的公理。</w:t>
      </w:r>
    </w:p>
    <w:p>
      <w:pPr>
        <w:widowControl w:val="0"/>
        <w:numPr>
          <w:ilvl w:val="0"/>
          <w:numId w:val="0"/>
        </w:numPr>
        <w:ind w:firstLine="420" w:firstLineChars="200"/>
        <w:jc w:val="both"/>
        <w:rPr>
          <w:rFonts w:hint="default" w:asciiTheme="minorEastAsia" w:hAnsiTheme="minorEastAsia" w:eastAsiaTheme="minorEastAsia" w:cstheme="minorEastAsia"/>
          <w:b w:val="0"/>
          <w:bCs w:val="0"/>
          <w:color w:val="231F20"/>
          <w:sz w:val="21"/>
          <w:szCs w:val="21"/>
          <w:lang w:val="en-US" w:eastAsia="zh-CN"/>
        </w:rPr>
      </w:pPr>
      <w:r>
        <w:rPr>
          <w:rFonts w:hint="default" w:asciiTheme="minorEastAsia" w:hAnsiTheme="minorEastAsia" w:eastAsiaTheme="minorEastAsia" w:cstheme="minorEastAsia"/>
          <w:b w:val="0"/>
          <w:bCs w:val="0"/>
          <w:color w:val="231F20"/>
          <w:sz w:val="21"/>
          <w:szCs w:val="21"/>
          <w:lang w:eastAsia="zh-CN"/>
        </w:rPr>
        <w:t>任何学科的科学理论都需要作为逻辑前提或基础逻辑的公理。</w:t>
      </w:r>
      <w:r>
        <w:rPr>
          <w:rFonts w:hint="eastAsia" w:asciiTheme="minorEastAsia" w:hAnsiTheme="minorEastAsia" w:eastAsiaTheme="minorEastAsia" w:cstheme="minorEastAsia"/>
          <w:b w:val="0"/>
          <w:bCs w:val="0"/>
          <w:color w:val="231F20"/>
          <w:sz w:val="21"/>
          <w:szCs w:val="21"/>
          <w:lang w:val="en-US" w:eastAsia="zh-CN"/>
        </w:rPr>
        <w:t>牛顿三大运动定律曾经被认为是牛顿经典力学的公理。</w:t>
      </w:r>
    </w:p>
    <w:p>
      <w:pPr>
        <w:widowControl w:val="0"/>
        <w:numPr>
          <w:ilvl w:val="0"/>
          <w:numId w:val="1"/>
        </w:numPr>
        <w:ind w:left="420" w:leftChars="0" w:firstLine="0" w:firstLineChars="0"/>
        <w:jc w:val="both"/>
        <w:rPr>
          <w:rFonts w:hint="eastAsia" w:cs="宋体"/>
          <w:color w:val="000000"/>
          <w:kern w:val="0"/>
          <w:szCs w:val="21"/>
          <w:lang w:val="en-US" w:eastAsia="zh-CN"/>
        </w:rPr>
      </w:pPr>
      <w:r>
        <w:rPr>
          <w:rFonts w:hint="eastAsia" w:cs="宋体"/>
          <w:color w:val="000000"/>
          <w:kern w:val="0"/>
          <w:szCs w:val="21"/>
          <w:lang w:val="en-US" w:eastAsia="zh-CN"/>
        </w:rPr>
        <w:t>科学方法论的进化</w:t>
      </w:r>
    </w:p>
    <w:p>
      <w:pPr>
        <w:widowControl w:val="0"/>
        <w:numPr>
          <w:ilvl w:val="0"/>
          <w:numId w:val="0"/>
        </w:numPr>
        <w:ind w:firstLine="420" w:firstLineChars="200"/>
        <w:jc w:val="both"/>
        <w:rPr>
          <w:rFonts w:hint="eastAsia" w:cs="宋体"/>
          <w:color w:val="000000"/>
          <w:kern w:val="0"/>
          <w:szCs w:val="21"/>
          <w:lang w:val="en-US" w:eastAsia="zh-CN"/>
        </w:rPr>
      </w:pPr>
      <w:r>
        <w:rPr>
          <w:rFonts w:hint="eastAsia" w:cs="宋体"/>
          <w:color w:val="000000"/>
          <w:kern w:val="0"/>
          <w:szCs w:val="21"/>
          <w:lang w:val="en-US" w:eastAsia="zh-CN"/>
        </w:rPr>
        <w:t>牛顿三大运动定律曾经被认为是公理。自爱因斯坦的相对论出现后，牛顿三大运动定律就不再是公理，而是假设。推而广之，所有曾经被认为是公理性的规律从严格科学意义上讲都不再是公理，而是假设。包括麦克斯韦方程等都是科学意义上的假设。</w:t>
      </w:r>
    </w:p>
    <w:p>
      <w:pPr>
        <w:widowControl w:val="0"/>
        <w:numPr>
          <w:ilvl w:val="0"/>
          <w:numId w:val="0"/>
        </w:numPr>
        <w:ind w:firstLine="420" w:firstLineChars="200"/>
        <w:jc w:val="both"/>
        <w:rPr>
          <w:rFonts w:hint="default" w:cs="宋体"/>
          <w:color w:val="000000"/>
          <w:kern w:val="0"/>
          <w:szCs w:val="21"/>
          <w:lang w:eastAsia="zh-CN"/>
        </w:rPr>
      </w:pPr>
      <w:r>
        <w:rPr>
          <w:rFonts w:hint="eastAsia" w:cs="宋体"/>
          <w:color w:val="000000"/>
          <w:kern w:val="0"/>
          <w:szCs w:val="21"/>
          <w:lang w:val="en-US" w:eastAsia="zh-CN"/>
        </w:rPr>
        <w:t>科学理论中，所有曾经被认为是公理性的基本规律或定律，实际上都是严格科学意义上的假设，这就是科学方法论的进化。</w:t>
      </w:r>
      <w:r>
        <w:rPr>
          <w:rFonts w:hint="default" w:cs="宋体"/>
          <w:color w:val="000000"/>
          <w:kern w:val="0"/>
          <w:szCs w:val="21"/>
          <w:lang w:eastAsia="zh-CN"/>
        </w:rPr>
        <w:t>科学方法论完成这样的进化后，科学理论也完成了进化。进化后的科学理论是科学家对研究目标进行数学意义上的理想简化后，对理想简化的研究目标做出在若干基本规律假设，并因此演绎研究目标的其它规律。</w:t>
      </w:r>
    </w:p>
    <w:p>
      <w:pPr>
        <w:widowControl w:val="0"/>
        <w:numPr>
          <w:ilvl w:val="0"/>
          <w:numId w:val="0"/>
        </w:numPr>
        <w:ind w:firstLine="420" w:firstLineChars="200"/>
        <w:jc w:val="both"/>
        <w:rPr>
          <w:rFonts w:hint="default" w:cs="宋体"/>
          <w:color w:val="000000"/>
          <w:kern w:val="0"/>
          <w:szCs w:val="21"/>
          <w:lang w:eastAsia="zh-CN"/>
        </w:rPr>
      </w:pPr>
      <w:r>
        <w:rPr>
          <w:rFonts w:hint="default" w:cs="宋体"/>
          <w:color w:val="000000"/>
          <w:kern w:val="0"/>
          <w:szCs w:val="21"/>
          <w:lang w:eastAsia="zh-CN"/>
        </w:rPr>
        <w:t>科学家对研究目标进行数学意义上的简化，实质上是把客观研究目标抽象成主观理想事物。</w:t>
      </w:r>
    </w:p>
    <w:p>
      <w:pPr>
        <w:widowControl w:val="0"/>
        <w:numPr>
          <w:ilvl w:val="0"/>
          <w:numId w:val="0"/>
        </w:numPr>
        <w:ind w:left="0" w:leftChars="0" w:firstLine="0" w:firstLineChars="0"/>
        <w:jc w:val="both"/>
        <w:rPr>
          <w:rFonts w:hint="default" w:cs="宋体"/>
          <w:color w:val="000000"/>
          <w:kern w:val="0"/>
          <w:szCs w:val="21"/>
          <w:lang w:val="en-US" w:eastAsia="zh-CN"/>
        </w:rPr>
      </w:pPr>
      <w:r>
        <w:rPr>
          <w:rFonts w:hint="default" w:cs="宋体"/>
          <w:color w:val="000000"/>
          <w:kern w:val="0"/>
          <w:szCs w:val="21"/>
          <w:lang w:eastAsia="zh-CN"/>
        </w:rPr>
        <w:t xml:space="preserve">    4，</w:t>
      </w:r>
      <w:r>
        <w:rPr>
          <w:rFonts w:hint="eastAsia" w:cs="宋体"/>
          <w:color w:val="000000"/>
          <w:kern w:val="0"/>
          <w:szCs w:val="21"/>
          <w:lang w:val="en-US" w:eastAsia="zh-CN"/>
        </w:rPr>
        <w:t>亚当斯密的经济思想与阿罗-德布鲁的一般均衡数学模型</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经济思想表述不明确，更重要的是无法进行学术传承，即学术共同体难以对其讨论和完善，难以对其进行检验和实证。比如《国富论》，</w:t>
      </w:r>
      <w:r>
        <w:rPr>
          <w:rFonts w:hint="default" w:cs="宋体"/>
          <w:color w:val="000000"/>
          <w:kern w:val="0"/>
          <w:szCs w:val="21"/>
          <w:lang w:eastAsia="zh-CN"/>
        </w:rPr>
        <w:t>不知道其经济思想的逻辑体系什么，无法对其逻辑体系是否成立进行检验。类似的包括中国的思想哲学著作《论语》和《道德经》，无法指出其逻辑体系，更无法对其逻辑体系做检验。社会思想如哲学思想和经济思想要想获得学术共同体的共同努力，获得学术共同体的检验、发展和完善，必须形式逻辑化，科学化，数学模型化。</w:t>
      </w:r>
      <w:r>
        <w:rPr>
          <w:rFonts w:hint="eastAsia" w:cs="宋体"/>
          <w:color w:val="000000"/>
          <w:kern w:val="0"/>
          <w:szCs w:val="21"/>
          <w:lang w:val="en-US" w:eastAsia="zh-CN"/>
        </w:rPr>
        <w:t>因此，现代经济理论</w:t>
      </w:r>
      <w:r>
        <w:rPr>
          <w:rFonts w:hint="default" w:cs="宋体"/>
          <w:color w:val="000000"/>
          <w:kern w:val="0"/>
          <w:szCs w:val="21"/>
          <w:lang w:eastAsia="zh-CN"/>
        </w:rPr>
        <w:t>一</w:t>
      </w:r>
      <w:r>
        <w:rPr>
          <w:rFonts w:hint="eastAsia" w:cs="宋体"/>
          <w:color w:val="000000"/>
          <w:kern w:val="0"/>
          <w:szCs w:val="21"/>
          <w:lang w:val="en-US" w:eastAsia="zh-CN"/>
        </w:rPr>
        <w:t>般都用数学模型。</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经济理论数学模型首先把现实经济体系做数学意义上的理想简化，并定义若干经济变量。把对经济体系的规律性认知作为关于经济体系的基本规律假设提出来。然后对这个假设做检验，如果检验结果是这个基本规律假设不成立，或假设性过强，则需改变这个基本规律假设，提出更符合现实的假设。如此循环，最终让经济理论达到有意义和完善的程度。</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阿罗-德布鲁的“Existence of an Equilibrium for a Competitive Economy”可以认为是</w:t>
      </w:r>
      <w:r>
        <w:rPr>
          <w:rFonts w:hint="default" w:cs="宋体"/>
          <w:color w:val="000000"/>
          <w:kern w:val="0"/>
          <w:szCs w:val="21"/>
          <w:lang w:eastAsia="zh-CN"/>
        </w:rPr>
        <w:t>把</w:t>
      </w:r>
      <w:r>
        <w:rPr>
          <w:rFonts w:hint="eastAsia" w:cs="宋体"/>
          <w:color w:val="000000"/>
          <w:kern w:val="0"/>
          <w:szCs w:val="21"/>
          <w:lang w:val="en-US" w:eastAsia="zh-CN"/>
        </w:rPr>
        <w:t>《国富论》</w:t>
      </w:r>
      <w:r>
        <w:rPr>
          <w:rFonts w:hint="default" w:cs="宋体"/>
          <w:color w:val="000000"/>
          <w:kern w:val="0"/>
          <w:szCs w:val="21"/>
          <w:lang w:eastAsia="zh-CN"/>
        </w:rPr>
        <w:t>的</w:t>
      </w:r>
      <w:r>
        <w:rPr>
          <w:rFonts w:hint="eastAsia" w:cs="宋体"/>
          <w:color w:val="000000"/>
          <w:kern w:val="0"/>
          <w:szCs w:val="21"/>
          <w:lang w:val="en-US" w:eastAsia="zh-CN"/>
        </w:rPr>
        <w:t>经济思想进行</w:t>
      </w:r>
      <w:r>
        <w:rPr>
          <w:rFonts w:hint="default" w:cs="宋体"/>
          <w:color w:val="000000"/>
          <w:kern w:val="0"/>
          <w:szCs w:val="21"/>
          <w:lang w:eastAsia="zh-CN"/>
        </w:rPr>
        <w:t>数学模型化的</w:t>
      </w:r>
      <w:r>
        <w:rPr>
          <w:rFonts w:hint="eastAsia" w:cs="宋体"/>
          <w:color w:val="000000"/>
          <w:kern w:val="0"/>
          <w:szCs w:val="21"/>
          <w:lang w:val="en-US" w:eastAsia="zh-CN"/>
        </w:rPr>
        <w:t>论文</w:t>
      </w:r>
      <w:r>
        <w:rPr>
          <w:rFonts w:hint="default" w:cs="宋体"/>
          <w:color w:val="000000"/>
          <w:kern w:val="0"/>
          <w:szCs w:val="21"/>
          <w:lang w:eastAsia="zh-CN"/>
        </w:rPr>
        <w:t>。</w:t>
      </w:r>
      <w:r>
        <w:rPr>
          <w:rFonts w:hint="eastAsia" w:cs="宋体"/>
          <w:color w:val="000000"/>
          <w:kern w:val="0"/>
          <w:szCs w:val="21"/>
          <w:lang w:val="en-US" w:eastAsia="zh-CN"/>
        </w:rPr>
        <w:t>该论文对经济系统竞争性均衡做了明确的定义，并阐述了经济系统存在竞争性均衡的前提条件。</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 xml:space="preserve">1.5.0. DEFINITION : A set of vectors (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x</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1</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x</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m</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y</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1</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 </w:t>
      </w:r>
      <m:oMath>
        <m:sSup>
          <m:sSupPr>
            <m:ctrlPr>
              <w:rPr>
                <w:rFonts w:ascii="Cambria Math" w:hAnsi="Cambria Math" w:cs="宋体"/>
                <w:i/>
                <w:color w:val="000000"/>
                <w:kern w:val="0"/>
                <w:szCs w:val="21"/>
                <w:lang w:val="en-US"/>
              </w:rPr>
            </m:ctrlPr>
          </m:sSupPr>
          <m:e>
            <m:sSub>
              <m:sSubPr>
                <m:ctrlPr>
                  <w:rPr>
                    <w:rFonts w:ascii="Cambria Math" w:hAnsi="Cambria Math" w:cs="宋体"/>
                    <w:i/>
                    <w:color w:val="000000"/>
                    <w:kern w:val="0"/>
                    <w:szCs w:val="21"/>
                    <w:lang w:val="en-US"/>
                  </w:rPr>
                </m:ctrlPr>
              </m:sSubPr>
              <m:e>
                <m:r>
                  <m:rPr/>
                  <w:rPr>
                    <w:rFonts w:hint="default" w:ascii="Cambria Math" w:hAnsi="Cambria Math" w:cs="宋体"/>
                    <w:color w:val="000000"/>
                    <w:kern w:val="0"/>
                    <w:szCs w:val="21"/>
                    <w:lang w:val="en-US" w:eastAsia="zh-CN"/>
                  </w:rPr>
                  <m:t>y</m:t>
                </m:r>
                <m:ctrlPr>
                  <w:rPr>
                    <w:rFonts w:ascii="Cambria Math" w:hAnsi="Cambria Math" w:cs="宋体"/>
                    <w:i/>
                    <w:color w:val="000000"/>
                    <w:kern w:val="0"/>
                    <w:szCs w:val="21"/>
                    <w:lang w:val="en-US"/>
                  </w:rPr>
                </m:ctrlPr>
              </m:e>
              <m:sub>
                <m:r>
                  <m:rPr/>
                  <w:rPr>
                    <w:rFonts w:hint="default" w:ascii="Cambria Math" w:hAnsi="Cambria Math" w:cs="宋体"/>
                    <w:color w:val="000000"/>
                    <w:kern w:val="0"/>
                    <w:szCs w:val="21"/>
                    <w:lang w:val="en-US" w:eastAsia="zh-CN"/>
                  </w:rPr>
                  <m:t>n</m:t>
                </m:r>
                <m:ctrlPr>
                  <w:rPr>
                    <w:rFonts w:ascii="Cambria Math" w:hAnsi="Cambria Math" w:cs="宋体"/>
                    <w:i/>
                    <w:color w:val="000000"/>
                    <w:kern w:val="0"/>
                    <w:szCs w:val="21"/>
                    <w:lang w:val="en-US"/>
                  </w:rPr>
                </m:ctrlPr>
              </m:sub>
            </m:sSub>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xml:space="preserve"> , </w:t>
      </w:r>
      <m:oMath>
        <m:sSup>
          <m:sSupPr>
            <m:ctrlPr>
              <w:rPr>
                <w:rFonts w:ascii="Cambria Math" w:hAnsi="Cambria Math" w:cs="宋体"/>
                <w:i/>
                <w:color w:val="000000"/>
                <w:kern w:val="0"/>
                <w:szCs w:val="21"/>
                <w:lang w:val="en-US"/>
              </w:rPr>
            </m:ctrlPr>
          </m:sSupPr>
          <m:e>
            <m:r>
              <m:rPr/>
              <w:rPr>
                <w:rFonts w:hint="default" w:ascii="Cambria Math" w:hAnsi="Cambria Math" w:cs="宋体"/>
                <w:color w:val="000000"/>
                <w:kern w:val="0"/>
                <w:szCs w:val="21"/>
                <w:lang w:val="en-US" w:eastAsia="zh-CN"/>
              </w:rPr>
              <m:t>p</m:t>
            </m:r>
            <m:ctrlPr>
              <w:rPr>
                <w:rFonts w:ascii="Cambria Math" w:hAnsi="Cambria Math" w:cs="宋体"/>
                <w:i/>
                <w:color w:val="000000"/>
                <w:kern w:val="0"/>
                <w:szCs w:val="21"/>
                <w:lang w:val="en-US"/>
              </w:rPr>
            </m:ctrlPr>
          </m:e>
          <m:sup>
            <m:r>
              <m:rPr/>
              <w:rPr>
                <w:rFonts w:hint="default" w:ascii="Cambria Math" w:hAnsi="Cambria Math" w:cs="宋体"/>
                <w:color w:val="000000"/>
                <w:kern w:val="0"/>
                <w:szCs w:val="21"/>
                <w:lang w:val="en-US" w:eastAsia="zh-CN"/>
              </w:rPr>
              <m:t>∗</m:t>
            </m:r>
            <m:ctrlPr>
              <w:rPr>
                <w:rFonts w:ascii="Cambria Math" w:hAnsi="Cambria Math" w:cs="宋体"/>
                <w:i/>
                <w:color w:val="000000"/>
                <w:kern w:val="0"/>
                <w:szCs w:val="21"/>
                <w:lang w:val="en-US"/>
              </w:rPr>
            </m:ctrlPr>
          </m:sup>
        </m:sSup>
      </m:oMath>
      <w:r>
        <w:rPr>
          <w:rFonts w:hint="eastAsia" w:cs="宋体"/>
          <w:color w:val="000000"/>
          <w:kern w:val="0"/>
          <w:szCs w:val="21"/>
          <w:lang w:val="en-US" w:eastAsia="zh-CN"/>
        </w:rPr>
        <w:t>) is said to be a competitive equilibrium if it satisfies Conditions 1-4.</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1.5.1. THEOREM I . For any economic system satisfying Assumptions I - IV , there is a competitive equilibrium .</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阿罗-德布鲁经济系统竞争性均衡的定义是论文中的Assumptions I - IV，其成立的前提条件是 Conditions 1-4.</w:t>
      </w:r>
    </w:p>
    <w:p>
      <w:pPr>
        <w:widowControl w:val="0"/>
        <w:numPr>
          <w:ilvl w:val="0"/>
          <w:numId w:val="0"/>
        </w:numPr>
        <w:ind w:firstLine="420"/>
        <w:jc w:val="both"/>
        <w:rPr>
          <w:rFonts w:hint="default" w:cs="宋体"/>
          <w:color w:val="000000"/>
          <w:kern w:val="0"/>
          <w:szCs w:val="21"/>
          <w:lang w:val="en-US" w:eastAsia="zh-CN"/>
        </w:rPr>
      </w:pPr>
      <w:r>
        <w:rPr>
          <w:rFonts w:hint="eastAsia" w:cs="宋体"/>
          <w:color w:val="000000"/>
          <w:kern w:val="0"/>
          <w:szCs w:val="21"/>
          <w:lang w:val="en-US" w:eastAsia="zh-CN"/>
        </w:rPr>
        <w:t>阿罗-德布鲁经济系统竞争性均衡简化地说是商品交换竞争性均衡，商品生产竞争性均衡和商品消费的时间优化路径。（1）</w:t>
      </w:r>
      <w:r>
        <w:rPr>
          <w:rFonts w:hint="eastAsia" w:ascii="宋体" w:hAnsi="宋体" w:eastAsia="宋体" w:cs="宋体"/>
          <w:sz w:val="21"/>
          <w:szCs w:val="21"/>
          <w:lang w:val="en-US" w:eastAsia="zh-CN"/>
        </w:rPr>
        <w:t>商品交换存在竞争性均衡的前提条件是被交换的商品数量是有限的，同一商品在不同地点和时间再次被交易时属于不同商品。</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商品生产存在优化竞争性均衡的前提条件是每一种商品的生产都符合封闭凸性子集的要求</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I.a. </w:t>
      </w:r>
      <m:oMath>
        <m:sSub>
          <m:sSubPr>
            <m:ctrlPr>
              <w:rPr>
                <w:rFonts w:hint="eastAsia" w:ascii="Cambria Math" w:hAnsi="Cambria Math" w:eastAsiaTheme="majorEastAsia" w:cstheme="majorEastAsia"/>
                <w:i/>
                <w:sz w:val="21"/>
                <w:szCs w:val="21"/>
                <w:lang w:val="en-US"/>
              </w:rPr>
            </m:ctrlPr>
          </m:sSubPr>
          <m:e>
            <m:r>
              <m:rPr/>
              <w:rPr>
                <w:rFonts w:hint="eastAsia" w:ascii="Cambria Math" w:hAnsi="Cambria Math" w:eastAsiaTheme="majorEastAsia" w:cstheme="majorEastAsia"/>
                <w:sz w:val="21"/>
                <w:szCs w:val="21"/>
                <w:lang w:val="en-US" w:eastAsia="zh-CN"/>
              </w:rPr>
              <m:t>Y</m:t>
            </m:r>
            <m:ctrlPr>
              <w:rPr>
                <w:rFonts w:hint="eastAsia" w:ascii="Cambria Math" w:hAnsi="Cambria Math" w:eastAsiaTheme="majorEastAsia" w:cstheme="majorEastAsia"/>
                <w:i/>
                <w:sz w:val="21"/>
                <w:szCs w:val="21"/>
                <w:lang w:val="en-US"/>
              </w:rPr>
            </m:ctrlPr>
          </m:e>
          <m:sub>
            <m:r>
              <m:rPr/>
              <w:rPr>
                <w:rFonts w:hint="eastAsia" w:ascii="Cambria Math" w:hAnsi="Cambria Math" w:eastAsiaTheme="majorEastAsia" w:cstheme="majorEastAsia"/>
                <w:sz w:val="21"/>
                <w:szCs w:val="21"/>
                <w:lang w:val="en-US" w:eastAsia="zh-CN"/>
              </w:rPr>
              <m:t>i</m:t>
            </m:r>
            <m:ctrlPr>
              <w:rPr>
                <w:rFonts w:hint="eastAsia" w:ascii="Cambria Math" w:hAnsi="Cambria Math" w:eastAsiaTheme="majorEastAsia" w:cstheme="majorEastAsia"/>
                <w:i/>
                <w:sz w:val="21"/>
                <w:szCs w:val="21"/>
                <w:lang w:val="en-US"/>
              </w:rPr>
            </m:ctrlPr>
          </m:sub>
        </m:sSub>
      </m:oMath>
      <w:r>
        <w:rPr>
          <w:rFonts w:hint="eastAsia" w:asciiTheme="majorEastAsia" w:hAnsiTheme="majorEastAsia" w:eastAsiaTheme="majorEastAsia" w:cstheme="majorEastAsia"/>
          <w:i w:val="0"/>
          <w:sz w:val="21"/>
          <w:szCs w:val="21"/>
          <w:lang w:val="en-US" w:eastAsia="zh-CN"/>
        </w:rPr>
        <w:t xml:space="preserve"> is a closed convex subset of </w:t>
      </w:r>
      <m:oMath>
        <m:sSup>
          <m:sSupPr>
            <m:ctrlPr>
              <w:rPr>
                <w:rFonts w:hint="eastAsia" w:ascii="Cambria Math" w:hAnsi="Cambria Math" w:eastAsiaTheme="majorEastAsia" w:cstheme="majorEastAsia"/>
                <w:i/>
                <w:sz w:val="21"/>
                <w:szCs w:val="21"/>
                <w:lang w:val="en-US"/>
              </w:rPr>
            </m:ctrlPr>
          </m:sSupPr>
          <m:e>
            <m:r>
              <m:rPr/>
              <w:rPr>
                <w:rFonts w:hint="eastAsia" w:ascii="Cambria Math" w:hAnsi="Cambria Math" w:eastAsiaTheme="majorEastAsia" w:cstheme="majorEastAsia"/>
                <w:sz w:val="21"/>
                <w:szCs w:val="21"/>
                <w:lang w:val="en-US" w:eastAsia="zh-CN"/>
              </w:rPr>
              <m:t>R</m:t>
            </m:r>
            <m:ctrlPr>
              <w:rPr>
                <w:rFonts w:hint="eastAsia" w:ascii="Cambria Math" w:hAnsi="Cambria Math" w:eastAsiaTheme="majorEastAsia" w:cstheme="majorEastAsia"/>
                <w:i/>
                <w:sz w:val="21"/>
                <w:szCs w:val="21"/>
                <w:lang w:val="en-US"/>
              </w:rPr>
            </m:ctrlPr>
          </m:e>
          <m:sup>
            <m:r>
              <m:rPr/>
              <w:rPr>
                <w:rFonts w:hint="eastAsia" w:ascii="Cambria Math" w:hAnsi="Cambria Math" w:eastAsiaTheme="majorEastAsia" w:cstheme="majorEastAsia"/>
                <w:sz w:val="21"/>
                <w:szCs w:val="21"/>
                <w:lang w:val="en-US" w:eastAsia="zh-CN"/>
              </w:rPr>
              <m:t>l</m:t>
            </m:r>
            <m:ctrlPr>
              <w:rPr>
                <w:rFonts w:hint="eastAsia" w:ascii="Cambria Math" w:hAnsi="Cambria Math" w:eastAsiaTheme="majorEastAsia" w:cstheme="majorEastAsia"/>
                <w:i/>
                <w:sz w:val="21"/>
                <w:szCs w:val="21"/>
                <w:lang w:val="en-US"/>
              </w:rPr>
            </m:ctrlPr>
          </m:sup>
        </m:sSup>
      </m:oMath>
      <w:r>
        <w:rPr>
          <w:rFonts w:hint="eastAsia" w:asciiTheme="majorEastAsia" w:hAnsiTheme="majorEastAsia" w:eastAsiaTheme="majorEastAsia" w:cstheme="majorEastAsia"/>
          <w:i w:val="0"/>
          <w:sz w:val="21"/>
          <w:szCs w:val="21"/>
          <w:lang w:val="en-US" w:eastAsia="zh-CN"/>
        </w:rPr>
        <w:t xml:space="preserve"> containing 0. </w:t>
      </w:r>
      <w:r>
        <w:rPr>
          <w:rFonts w:hint="eastAsia" w:asciiTheme="majorEastAsia" w:hAnsiTheme="majorEastAsia" w:eastAsiaTheme="majorEastAsia" w:cstheme="majorEastAsia"/>
          <w:sz w:val="21"/>
          <w:szCs w:val="21"/>
          <w:lang w:val="en-US" w:eastAsia="zh-CN"/>
        </w:rPr>
        <w:t>Assumption I.a. implies non-increasing returns to scale.）。（3）</w:t>
      </w:r>
      <w:r>
        <w:rPr>
          <w:rFonts w:hint="eastAsia" w:ascii="宋体" w:hAnsi="宋体" w:eastAsia="宋体" w:cs="宋体"/>
          <w:sz w:val="21"/>
          <w:szCs w:val="21"/>
          <w:lang w:val="en-US" w:eastAsia="zh-CN"/>
        </w:rPr>
        <w:t>商品效用消费存在效用优化的前提条件是：</w:t>
      </w:r>
      <w:r>
        <w:rPr>
          <w:rFonts w:hint="eastAsia" w:asciiTheme="minorEastAsia" w:hAnsiTheme="minorEastAsia" w:eastAsiaTheme="minorEastAsia" w:cstheme="minorEastAsia"/>
          <w:i w:val="0"/>
          <w:sz w:val="21"/>
          <w:szCs w:val="21"/>
          <w:lang w:val="en-US" w:eastAsia="zh-CN"/>
        </w:rPr>
        <w:t xml:space="preserve">The set of consumption vectors </w:t>
      </w:r>
      <m:oMath>
        <m:sSub>
          <m:sSubPr>
            <m:ctrlPr>
              <w:rPr>
                <w:rFonts w:hint="eastAsia" w:ascii="Cambria Math" w:hAnsi="Cambria Math" w:eastAsiaTheme="minorEastAsia" w:cstheme="minorEastAsia"/>
                <w:i/>
                <w:sz w:val="21"/>
                <w:szCs w:val="21"/>
                <w:lang w:val="en-US"/>
              </w:rPr>
            </m:ctrlPr>
          </m:sSubPr>
          <m:e>
            <m:r>
              <m:rPr/>
              <w:rPr>
                <w:rFonts w:hint="eastAsia"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i/>
                <w:sz w:val="21"/>
                <w:szCs w:val="21"/>
                <w:lang w:val="en-US"/>
              </w:rPr>
            </m:ctrlPr>
          </m:e>
          <m:sub>
            <m:r>
              <m:rPr/>
              <w:rPr>
                <w:rFonts w:hint="eastAsia" w:ascii="Cambria Math" w:hAnsi="Cambria Math" w:eastAsiaTheme="minorEastAsia" w:cstheme="minorEastAsia"/>
                <w:sz w:val="21"/>
                <w:szCs w:val="21"/>
                <w:lang w:val="en-US" w:eastAsia="zh-CN"/>
              </w:rPr>
              <m:t>i</m:t>
            </m:r>
            <m:ctrlPr>
              <w:rPr>
                <w:rFonts w:hint="eastAsia" w:ascii="Cambria Math" w:hAnsi="Cambria Math" w:eastAsiaTheme="minorEastAsia" w:cstheme="minorEastAsia"/>
                <w:i/>
                <w:sz w:val="21"/>
                <w:szCs w:val="21"/>
                <w:lang w:val="en-US"/>
              </w:rPr>
            </m:ctrlPr>
          </m:sub>
        </m:sSub>
      </m:oMath>
      <w:r>
        <w:rPr>
          <w:rFonts w:hint="eastAsia" w:asciiTheme="minorEastAsia" w:hAnsiTheme="minorEastAsia" w:eastAsiaTheme="minorEastAsia" w:cstheme="minorEastAsia"/>
          <w:i w:val="0"/>
          <w:sz w:val="21"/>
          <w:szCs w:val="21"/>
          <w:lang w:val="en-US" w:eastAsia="zh-CN"/>
        </w:rPr>
        <w:t xml:space="preserve"> available to individual i (=1,...,m) is a closet convex subset of </w:t>
      </w:r>
      <m:oMath>
        <m:sSup>
          <m:sSupPr>
            <m:ctrlPr>
              <w:rPr>
                <w:rFonts w:hint="eastAsia" w:ascii="Cambria Math" w:hAnsi="Cambria Math" w:eastAsiaTheme="minorEastAsia" w:cstheme="minorEastAsia"/>
                <w:i/>
                <w:sz w:val="21"/>
                <w:szCs w:val="21"/>
                <w:lang w:val="en-US"/>
              </w:rPr>
            </m:ctrlPr>
          </m:sSupPr>
          <m:e>
            <m:r>
              <m:rPr/>
              <w:rPr>
                <w:rFonts w:hint="eastAsia" w:ascii="Cambria Math" w:hAnsi="Cambria Math" w:eastAsiaTheme="minorEastAsia" w:cstheme="minorEastAsia"/>
                <w:sz w:val="21"/>
                <w:szCs w:val="21"/>
                <w:lang w:val="en-US" w:eastAsia="zh-CN"/>
              </w:rPr>
              <m:t>R</m:t>
            </m:r>
            <m:ctrlPr>
              <w:rPr>
                <w:rFonts w:hint="eastAsia" w:ascii="Cambria Math" w:hAnsi="Cambria Math" w:eastAsiaTheme="minorEastAsia" w:cstheme="minorEastAsia"/>
                <w:i/>
                <w:sz w:val="21"/>
                <w:szCs w:val="21"/>
                <w:lang w:val="en-US"/>
              </w:rPr>
            </m:ctrlPr>
          </m:e>
          <m:sup>
            <m:r>
              <m:rPr/>
              <w:rPr>
                <w:rFonts w:hint="eastAsia" w:ascii="Cambria Math" w:hAnsi="Cambria Math" w:eastAsiaTheme="minorEastAsia" w:cstheme="minorEastAsia"/>
                <w:sz w:val="21"/>
                <w:szCs w:val="21"/>
                <w:lang w:val="en-US" w:eastAsia="zh-CN"/>
              </w:rPr>
              <m:t>l</m:t>
            </m:r>
            <m:ctrlPr>
              <w:rPr>
                <w:rFonts w:hint="eastAsia" w:ascii="Cambria Math" w:hAnsi="Cambria Math" w:eastAsiaTheme="minorEastAsia" w:cstheme="minorEastAsia"/>
                <w:i/>
                <w:sz w:val="21"/>
                <w:szCs w:val="21"/>
                <w:lang w:val="en-US"/>
              </w:rPr>
            </m:ctrlPr>
          </m:sup>
        </m:sSup>
      </m:oMath>
      <w:r>
        <w:rPr>
          <w:rFonts w:hint="eastAsia" w:asciiTheme="minorEastAsia" w:hAnsiTheme="minorEastAsia" w:eastAsiaTheme="minorEastAsia" w:cstheme="minorEastAsia"/>
          <w:i w:val="0"/>
          <w:sz w:val="21"/>
          <w:szCs w:val="21"/>
          <w:lang w:val="en-US" w:eastAsia="zh-CN"/>
        </w:rPr>
        <w:t xml:space="preserve"> which is bounded from below。</w:t>
      </w:r>
      <w:r>
        <w:rPr>
          <w:rFonts w:hint="eastAsia" w:cs="宋体"/>
          <w:color w:val="000000"/>
          <w:kern w:val="0"/>
          <w:szCs w:val="21"/>
          <w:lang w:val="en-US" w:eastAsia="zh-CN"/>
        </w:rPr>
        <w:t>阿罗-德布鲁的经济系统竞争性均衡也称一般均衡。</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通过阿罗-得布鲁的这个模型，我们能够明白《国富论》的经济思想用形式逻辑表述是一般均衡，也明白一般均衡成立的前提条件。当学术共同体要检验和实证《国富论》经济思想的时候，就应该对阿罗-德布鲁模型的一般均衡做检验和实证，或者对一般均衡成立的前提条件做检验和实证。</w:t>
      </w:r>
    </w:p>
    <w:p>
      <w:pPr>
        <w:widowControl w:val="0"/>
        <w:numPr>
          <w:ilvl w:val="0"/>
          <w:numId w:val="0"/>
        </w:numPr>
        <w:ind w:firstLine="420"/>
        <w:jc w:val="both"/>
        <w:rPr>
          <w:rFonts w:hint="default" w:cs="宋体"/>
          <w:color w:val="000000"/>
          <w:kern w:val="0"/>
          <w:szCs w:val="21"/>
          <w:lang w:val="en-US" w:eastAsia="zh-CN"/>
        </w:rPr>
      </w:pPr>
      <w:r>
        <w:rPr>
          <w:rFonts w:hint="eastAsia" w:cs="宋体"/>
          <w:color w:val="000000"/>
          <w:kern w:val="0"/>
          <w:szCs w:val="21"/>
          <w:lang w:val="en-US" w:eastAsia="zh-CN"/>
        </w:rPr>
        <w:t>5，索洛模型和希克斯模型</w:t>
      </w:r>
    </w:p>
    <w:p>
      <w:pPr>
        <w:widowControl w:val="0"/>
        <w:numPr>
          <w:ilvl w:val="0"/>
          <w:numId w:val="0"/>
        </w:numPr>
        <w:ind w:firstLine="420"/>
        <w:jc w:val="both"/>
        <w:rPr>
          <w:rFonts w:hint="eastAsia" w:cs="宋体"/>
          <w:color w:val="000000"/>
          <w:kern w:val="0"/>
          <w:szCs w:val="21"/>
          <w:lang w:val="en-US" w:eastAsia="zh-CN"/>
        </w:rPr>
      </w:pPr>
      <w:r>
        <w:rPr>
          <w:rFonts w:hint="eastAsia" w:cs="宋体"/>
          <w:color w:val="000000"/>
          <w:kern w:val="0"/>
          <w:szCs w:val="21"/>
          <w:lang w:val="en-US" w:eastAsia="zh-CN"/>
        </w:rPr>
        <w:t>阿罗-德布鲁的一般均衡</w:t>
      </w:r>
      <w:r>
        <w:rPr>
          <w:rFonts w:hint="default" w:cs="宋体"/>
          <w:color w:val="000000"/>
          <w:kern w:val="0"/>
          <w:szCs w:val="21"/>
          <w:lang w:eastAsia="zh-CN"/>
        </w:rPr>
        <w:t>模型</w:t>
      </w:r>
      <w:r>
        <w:rPr>
          <w:rFonts w:hint="eastAsia" w:cs="宋体"/>
          <w:color w:val="000000"/>
          <w:kern w:val="0"/>
          <w:szCs w:val="21"/>
          <w:lang w:val="en-US" w:eastAsia="zh-CN"/>
        </w:rPr>
        <w:t>是微观模型。宏观经济学需要宏观模型。</w:t>
      </w:r>
      <w:r>
        <w:rPr>
          <w:rFonts w:hint="default" w:cs="宋体"/>
          <w:color w:val="000000"/>
          <w:kern w:val="0"/>
          <w:szCs w:val="21"/>
          <w:lang w:eastAsia="zh-CN"/>
        </w:rPr>
        <w:t>所谓宏观就从经济总量的视角看经济活动。</w:t>
      </w:r>
      <w:r>
        <w:rPr>
          <w:rFonts w:hint="eastAsia" w:cs="宋体"/>
          <w:color w:val="000000"/>
          <w:kern w:val="0"/>
          <w:szCs w:val="21"/>
          <w:lang w:val="en-US" w:eastAsia="zh-CN"/>
        </w:rPr>
        <w:t>可以认为索洛模型是对阿罗-德布鲁微观一般均衡模型的简化和宏观化。卢卡斯，罗默，曼昆等在索洛模型的基础上做进一步的完善，这构成新古典学派宏观经济理论数学模型。</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要构建宏观经济理论模型，</w:t>
      </w:r>
      <w:r>
        <w:rPr>
          <w:rFonts w:hint="eastAsia" w:cs="宋体"/>
          <w:color w:val="000000"/>
          <w:kern w:val="0"/>
          <w:szCs w:val="21"/>
          <w:lang w:val="en-US" w:eastAsia="zh-CN"/>
        </w:rPr>
        <w:t>首先</w:t>
      </w:r>
      <w:r>
        <w:rPr>
          <w:rFonts w:hint="default" w:cs="宋体"/>
          <w:color w:val="000000"/>
          <w:kern w:val="0"/>
          <w:szCs w:val="21"/>
          <w:lang w:eastAsia="zh-CN"/>
        </w:rPr>
        <w:t>要对宏观经济体系做数学意义上的理想简化。</w:t>
      </w:r>
      <w:r>
        <w:rPr>
          <w:rFonts w:hint="eastAsia" w:cs="宋体"/>
          <w:color w:val="000000"/>
          <w:kern w:val="0"/>
          <w:szCs w:val="21"/>
          <w:lang w:val="en-US" w:eastAsia="zh-CN"/>
        </w:rPr>
        <w:t>索洛模型假设</w:t>
      </w:r>
      <w:r>
        <w:rPr>
          <w:rFonts w:hint="default" w:cs="宋体"/>
          <w:color w:val="000000"/>
          <w:kern w:val="0"/>
          <w:szCs w:val="21"/>
          <w:lang w:eastAsia="zh-CN"/>
        </w:rPr>
        <w:t>经济</w:t>
      </w:r>
      <w:r>
        <w:rPr>
          <w:rFonts w:hint="eastAsia" w:cs="宋体"/>
          <w:color w:val="000000"/>
          <w:kern w:val="0"/>
          <w:szCs w:val="21"/>
          <w:lang w:val="en-US" w:eastAsia="zh-CN"/>
        </w:rPr>
        <w:t>只有一种商品，这种商品既用来消费也用来投资，其投资比例为固定的s，因而经济的资本积累为</w:t>
      </w:r>
      <w:r>
        <w:rPr>
          <w:rFonts w:hint="default" w:cs="宋体"/>
          <w:color w:val="000000"/>
          <w:kern w:val="0"/>
          <w:szCs w:val="21"/>
          <w:lang w:eastAsia="zh-CN"/>
        </w:rPr>
        <w:t xml:space="preserve"> </w:t>
      </w:r>
      <w:r>
        <w:rPr>
          <w:rFonts w:hint="default" w:cs="宋体"/>
          <w:color w:val="000000"/>
          <w:kern w:val="0"/>
          <w:szCs w:val="21"/>
          <w:lang w:val="en-US" w:eastAsia="zh-CN"/>
        </w:rPr>
        <w:t>(1) K = sY</w:t>
      </w:r>
      <w:r>
        <w:rPr>
          <w:rFonts w:hint="eastAsia" w:cs="宋体"/>
          <w:color w:val="000000"/>
          <w:kern w:val="0"/>
          <w:szCs w:val="21"/>
          <w:lang w:val="en-US" w:eastAsia="zh-CN"/>
        </w:rPr>
        <w:t>。假设劳动力为L，则经济产出为</w:t>
      </w:r>
      <w:r>
        <w:rPr>
          <w:rFonts w:hint="default" w:cs="宋体"/>
          <w:color w:val="000000"/>
          <w:kern w:val="0"/>
          <w:szCs w:val="21"/>
          <w:lang w:val="en-US" w:eastAsia="zh-CN"/>
        </w:rPr>
        <w:t xml:space="preserve"> (2) Y = F(K,L). </w:t>
      </w:r>
      <w:r>
        <w:rPr>
          <w:rFonts w:hint="eastAsia" w:cs="宋体"/>
          <w:color w:val="000000"/>
          <w:kern w:val="0"/>
          <w:szCs w:val="21"/>
          <w:lang w:val="en-US" w:eastAsia="zh-CN"/>
        </w:rPr>
        <w:t>假设r=K/L，n为人口每年增长率，</w:t>
      </w:r>
      <w:r>
        <w:rPr>
          <w:rFonts w:hint="default" w:cs="宋体"/>
          <w:color w:val="000000"/>
          <w:kern w:val="0"/>
          <w:szCs w:val="21"/>
          <w:lang w:eastAsia="zh-CN"/>
        </w:rPr>
        <w:t>则可以做出nr，sF（r，1）与r的关系曲线。</w:t>
      </w:r>
    </w:p>
    <w:p>
      <w:pPr>
        <w:widowControl w:val="0"/>
        <w:numPr>
          <w:ilvl w:val="0"/>
          <w:numId w:val="0"/>
        </w:numPr>
        <w:ind w:firstLine="420"/>
        <w:jc w:val="both"/>
        <w:rPr>
          <w:rFonts w:hint="default" w:cs="宋体"/>
          <w:color w:val="000000"/>
          <w:kern w:val="0"/>
          <w:szCs w:val="21"/>
          <w:lang w:eastAsia="zh-CN"/>
        </w:rPr>
      </w:pPr>
      <w:r>
        <w:rPr>
          <w:rFonts w:hint="default" w:cs="宋体"/>
          <w:color w:val="000000"/>
          <w:kern w:val="0"/>
          <w:szCs w:val="21"/>
          <w:lang w:eastAsia="zh-CN"/>
        </w:rPr>
        <w:t>索洛对nr，sF（r，1）与r的关系曲线做了很多情景讨论，下图1所示的是情景之一。</w:t>
      </w:r>
    </w:p>
    <w:p>
      <w:pPr>
        <w:widowControl w:val="0"/>
        <w:numPr>
          <w:ilvl w:val="0"/>
          <w:numId w:val="0"/>
        </w:numPr>
        <w:ind w:firstLine="420"/>
        <w:jc w:val="both"/>
        <w:rPr>
          <w:rFonts w:hint="default" w:cs="宋体"/>
          <w:color w:val="000000"/>
          <w:kern w:val="0"/>
          <w:szCs w:val="21"/>
          <w:lang w:eastAsia="zh-CN"/>
        </w:rPr>
      </w:pPr>
      <w:r>
        <w:rPr>
          <w:rFonts w:eastAsia="Times New Roman" w:cs="Times New Roman"/>
          <w:color w:val="000000"/>
          <w:spacing w:val="0"/>
          <w:w w:val="100"/>
          <w:position w:val="0"/>
          <w:lang w:eastAsia="en-US" w:bidi="en-US"/>
        </w:rPr>
        <w:drawing>
          <wp:inline distT="0" distB="0" distL="114300" distR="114300">
            <wp:extent cx="2877185" cy="2048510"/>
            <wp:effectExtent l="0" t="0" r="5715" b="8890"/>
            <wp:docPr id="13"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
                    <pic:cNvPicPr>
                      <a:picLocks noChangeAspect="1"/>
                    </pic:cNvPicPr>
                  </pic:nvPicPr>
                  <pic:blipFill>
                    <a:blip r:embed="rId12"/>
                    <a:stretch>
                      <a:fillRect/>
                    </a:stretch>
                  </pic:blipFill>
                  <pic:spPr>
                    <a:xfrm>
                      <a:off x="0" y="0"/>
                      <a:ext cx="2877185" cy="2048510"/>
                    </a:xfrm>
                    <a:prstGeom prst="rect">
                      <a:avLst/>
                    </a:prstGeom>
                  </pic:spPr>
                </pic:pic>
              </a:graphicData>
            </a:graphic>
          </wp:inline>
        </w:drawing>
      </w:r>
    </w:p>
    <w:p>
      <w:pPr>
        <w:widowControl w:val="0"/>
        <w:numPr>
          <w:ilvl w:val="0"/>
          <w:numId w:val="0"/>
        </w:numPr>
        <w:ind w:firstLine="420"/>
        <w:jc w:val="both"/>
        <w:rPr>
          <w:rFonts w:eastAsia="Times New Roman" w:cs="Times New Roman"/>
          <w:color w:val="000000"/>
          <w:spacing w:val="0"/>
          <w:w w:val="100"/>
          <w:position w:val="0"/>
          <w:lang w:eastAsia="en-US" w:bidi="en-US"/>
        </w:rPr>
      </w:pPr>
      <w:r>
        <w:rPr>
          <w:rFonts w:hint="default" w:cs="宋体"/>
          <w:color w:val="000000"/>
          <w:kern w:val="0"/>
          <w:szCs w:val="21"/>
          <w:lang w:eastAsia="zh-CN"/>
        </w:rPr>
        <w:t>索洛的结论是：这两条曲线存在多个的相交点，但存在一个稳定均衡点r*。</w:t>
      </w:r>
      <w:r>
        <w:rPr>
          <w:rFonts w:hint="eastAsia" w:cs="宋体"/>
          <w:color w:val="000000"/>
          <w:kern w:val="0"/>
          <w:szCs w:val="21"/>
          <w:lang w:eastAsia="zh-CN"/>
        </w:rPr>
        <w:t>（</w:t>
      </w:r>
      <w:r>
        <w:rPr>
          <w:rFonts w:ascii="Times New Roman" w:hAnsi="Times New Roman" w:eastAsia="Times New Roman" w:cs="Times New Roman"/>
          <w:color w:val="000000"/>
          <w:spacing w:val="0"/>
          <w:w w:val="100"/>
          <w:position w:val="0"/>
          <w:lang w:val="en-US" w:eastAsia="en-US" w:bidi="en-US"/>
        </w:rPr>
        <w:t xml:space="preserve">Thus the equilibrium value r* is </w:t>
      </w:r>
      <w:r>
        <w:rPr>
          <w:rFonts w:ascii="Times New Roman" w:hAnsi="Times New Roman" w:eastAsia="Times New Roman" w:cs="Times New Roman"/>
          <w:i/>
          <w:iCs/>
          <w:color w:val="000000"/>
          <w:spacing w:val="0"/>
          <w:w w:val="100"/>
          <w:position w:val="0"/>
          <w:lang w:val="en-US" w:eastAsia="en-US" w:bidi="en-US"/>
        </w:rPr>
        <w:t>stable.</w:t>
      </w:r>
      <w:r>
        <w:rPr>
          <w:rFonts w:hint="eastAsia" w:cs="Times New Roman"/>
          <w:i/>
          <w:iCs/>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 xml:space="preserve"> </w:t>
      </w:r>
      <w:r>
        <w:rPr>
          <w:rFonts w:eastAsia="Times New Roman" w:cs="Times New Roman"/>
          <w:color w:val="000000"/>
          <w:spacing w:val="0"/>
          <w:w w:val="100"/>
          <w:position w:val="0"/>
          <w:lang w:eastAsia="en-US" w:bidi="en-US"/>
        </w:rPr>
        <w:t>并认为这稳定均衡点r*的物理意义是：</w:t>
      </w:r>
      <w:r>
        <w:rPr>
          <w:rFonts w:ascii="Times New Roman" w:hAnsi="Times New Roman" w:eastAsia="Times New Roman" w:cs="Times New Roman"/>
          <w:color w:val="000000"/>
          <w:spacing w:val="0"/>
          <w:w w:val="100"/>
          <w:position w:val="0"/>
          <w:lang w:val="en-US" w:eastAsia="en-US" w:bidi="en-US"/>
        </w:rPr>
        <w:t>The process can be viewed in this way</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at any moment of time the available labor supply is given by (4) and the available stock of capital is also a datum. Since the real return to factors will adjust to bring about full employment of labor and capital</w:t>
      </w:r>
      <w:r>
        <w:rPr>
          <w:rFonts w:eastAsia="Times New Roman" w:cs="Times New Roman"/>
          <w:color w:val="000000"/>
          <w:spacing w:val="0"/>
          <w:w w:val="100"/>
          <w:position w:val="0"/>
          <w:lang w:eastAsia="en-US" w:bidi="en-US"/>
        </w:rPr>
        <w:t>（对于给定的劳动力和资本积累，要素真实回报率根据市场调节不断降低最终实现劳动力全就业和资本积累全利用，这时要素真实回报率是市场均衡回报率）</w:t>
      </w:r>
    </w:p>
    <w:p>
      <w:pPr>
        <w:widowControl w:val="0"/>
        <w:numPr>
          <w:ilvl w:val="0"/>
          <w:numId w:val="0"/>
        </w:numPr>
        <w:ind w:firstLine="420"/>
        <w:jc w:val="both"/>
        <w:rPr>
          <w:rFonts w:hint="default" w:cs="宋体"/>
          <w:color w:val="000000"/>
          <w:kern w:val="0"/>
          <w:szCs w:val="21"/>
          <w:lang w:eastAsia="zh-CN"/>
        </w:rPr>
      </w:pPr>
      <w:r>
        <w:rPr>
          <w:rFonts w:eastAsia="Times New Roman" w:cs="Times New Roman"/>
          <w:color w:val="000000"/>
          <w:spacing w:val="0"/>
          <w:w w:val="100"/>
          <w:position w:val="0"/>
          <w:lang w:eastAsia="en-US" w:bidi="en-US"/>
        </w:rPr>
        <w:t>必须指出的是，上述索洛对</w:t>
      </w:r>
      <w:r>
        <w:rPr>
          <w:rFonts w:hint="default" w:cs="宋体"/>
          <w:color w:val="000000"/>
          <w:kern w:val="0"/>
          <w:szCs w:val="21"/>
          <w:lang w:eastAsia="zh-CN"/>
        </w:rPr>
        <w:t>nr与sF（r，1）两条曲线的认知是索洛关于经济活动规律的假设，该假设需要得到现实经济数据的检验。</w:t>
      </w:r>
    </w:p>
    <w:p>
      <w:pPr>
        <w:widowControl w:val="0"/>
        <w:numPr>
          <w:ilvl w:val="0"/>
          <w:numId w:val="0"/>
        </w:numPr>
        <w:ind w:firstLine="420"/>
        <w:jc w:val="both"/>
        <w:rPr>
          <w:rFonts w:hint="eastAsia"/>
          <w:lang w:val="en-US" w:eastAsia="zh-CN"/>
        </w:rPr>
      </w:pPr>
      <w:r>
        <w:rPr>
          <w:rFonts w:hint="eastAsia" w:cs="Times New Roman"/>
          <w:color w:val="000000"/>
          <w:spacing w:val="0"/>
          <w:w w:val="100"/>
          <w:position w:val="0"/>
          <w:lang w:val="en-US" w:eastAsia="zh-CN" w:bidi="en-US"/>
        </w:rPr>
        <w:t>1920-30年代经济大萧条后，凯恩斯对以《国富论》为思想基础的当时主流经济理论进行反思，</w:t>
      </w:r>
      <w:r>
        <w:rPr>
          <w:rFonts w:hint="eastAsia"/>
        </w:rPr>
        <w:t>认为自由市场经济能自身实现最优化发展是一种理想情况，现实经济活动由于工资粘性，市场经济主体信息不完备和不够理性等原因不能自身实现最优化</w:t>
      </w:r>
      <w:r>
        <w:rPr>
          <w:rFonts w:hint="eastAsia"/>
          <w:lang w:val="en-US" w:eastAsia="zh-CN"/>
        </w:rPr>
        <w:t>发展，将出现劳动力失业。政府应该提高社会支出，提高社会需求以降低失业率。但凯恩斯没有构建宏观经济理论数学模型。</w:t>
      </w:r>
    </w:p>
    <w:p>
      <w:pPr>
        <w:widowControl w:val="0"/>
        <w:numPr>
          <w:ilvl w:val="0"/>
          <w:numId w:val="0"/>
        </w:numPr>
        <w:ind w:firstLine="420"/>
        <w:jc w:val="both"/>
        <w:rPr>
          <w:rFonts w:hint="default"/>
          <w:lang w:val="en-US" w:eastAsia="zh-CN"/>
        </w:rPr>
      </w:pPr>
      <w:r>
        <w:rPr>
          <w:rFonts w:hint="eastAsia"/>
          <w:lang w:val="en-US" w:eastAsia="zh-CN"/>
        </w:rPr>
        <w:t>与凯恩斯同时代的经济学家希克思在吸收凯恩斯经济思想的基础上构建了宏观经济理论数学模型。该模型以经济产出I和市场利率i为坐标，以储蓄率s和货币供应量（流动性）L为变量，做出著名的IS-LM关系曲线图。这两条曲线的交叉点就是经济活动的均衡点，对</w:t>
      </w:r>
      <w:r>
        <w:rPr>
          <w:rFonts w:hint="default"/>
          <w:lang w:eastAsia="zh-CN"/>
        </w:rPr>
        <w:t>应</w:t>
      </w:r>
      <w:r>
        <w:rPr>
          <w:rFonts w:hint="eastAsia"/>
          <w:lang w:val="en-US" w:eastAsia="zh-CN"/>
        </w:rPr>
        <w:t>的政府支出和经济产出就是均衡（稳定优化）的政府支出和经济产出。</w:t>
      </w:r>
    </w:p>
    <w:p>
      <w:pPr>
        <w:widowControl w:val="0"/>
        <w:numPr>
          <w:ilvl w:val="0"/>
          <w:numId w:val="0"/>
        </w:numPr>
        <w:ind w:firstLine="420"/>
        <w:jc w:val="both"/>
        <w:rPr>
          <w:rFonts w:hint="eastAsia"/>
          <w:lang w:val="en-US" w:eastAsia="zh-CN"/>
        </w:rPr>
      </w:pPr>
      <w:r>
        <w:rPr>
          <w:rFonts w:hint="eastAsia" w:eastAsia="宋体" w:cs="Times New Roman"/>
          <w:color w:val="000000"/>
          <w:spacing w:val="0"/>
          <w:w w:val="100"/>
          <w:position w:val="0"/>
          <w:lang w:eastAsia="zh-CN" w:bidi="en-US"/>
        </w:rPr>
        <w:drawing>
          <wp:inline distT="0" distB="0" distL="114300" distR="114300">
            <wp:extent cx="3638550" cy="3552825"/>
            <wp:effectExtent l="0" t="0" r="6350" b="3175"/>
            <wp:docPr id="14" name="图片 1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
                    <pic:cNvPicPr>
                      <a:picLocks noChangeAspect="1"/>
                    </pic:cNvPicPr>
                  </pic:nvPicPr>
                  <pic:blipFill>
                    <a:blip r:embed="rId13"/>
                    <a:stretch>
                      <a:fillRect/>
                    </a:stretch>
                  </pic:blipFill>
                  <pic:spPr>
                    <a:xfrm>
                      <a:off x="0" y="0"/>
                      <a:ext cx="3638550" cy="3552825"/>
                    </a:xfrm>
                    <a:prstGeom prst="rect">
                      <a:avLst/>
                    </a:prstGeom>
                  </pic:spPr>
                </pic:pic>
              </a:graphicData>
            </a:graphic>
          </wp:inline>
        </w:drawing>
      </w:r>
    </w:p>
    <w:p>
      <w:pPr>
        <w:widowControl w:val="0"/>
        <w:numPr>
          <w:ilvl w:val="0"/>
          <w:numId w:val="0"/>
        </w:numPr>
        <w:ind w:firstLine="420"/>
        <w:jc w:val="both"/>
        <w:rPr>
          <w:rFonts w:hint="default" w:cs="宋体"/>
          <w:color w:val="000000"/>
          <w:kern w:val="0"/>
          <w:szCs w:val="21"/>
          <w:lang w:eastAsia="zh-CN"/>
        </w:rPr>
      </w:pPr>
      <w:r>
        <w:rPr>
          <w:rFonts w:hint="eastAsia" w:cs="Times New Roman"/>
          <w:color w:val="000000"/>
          <w:spacing w:val="0"/>
          <w:w w:val="100"/>
          <w:position w:val="0"/>
          <w:lang w:val="en-US" w:eastAsia="zh-CN" w:bidi="en-US"/>
        </w:rPr>
        <w:t>同样</w:t>
      </w:r>
      <w:r>
        <w:rPr>
          <w:rFonts w:eastAsia="Times New Roman" w:cs="Times New Roman"/>
          <w:color w:val="000000"/>
          <w:spacing w:val="0"/>
          <w:w w:val="100"/>
          <w:position w:val="0"/>
          <w:lang w:eastAsia="en-US" w:bidi="en-US"/>
        </w:rPr>
        <w:t>必须指出的是，上述</w:t>
      </w:r>
      <w:r>
        <w:rPr>
          <w:rFonts w:hint="eastAsia" w:cs="Times New Roman"/>
          <w:color w:val="000000"/>
          <w:spacing w:val="0"/>
          <w:w w:val="100"/>
          <w:position w:val="0"/>
          <w:lang w:val="en-US" w:eastAsia="zh-CN" w:bidi="en-US"/>
        </w:rPr>
        <w:t>希克思关于</w:t>
      </w:r>
      <w:r>
        <w:rPr>
          <w:rFonts w:hint="eastAsia"/>
          <w:lang w:val="en-US" w:eastAsia="zh-CN"/>
        </w:rPr>
        <w:t>IS-LM这两条曲线的交叉点就是经济活动的均衡点是希克斯</w:t>
      </w:r>
      <w:r>
        <w:rPr>
          <w:rFonts w:eastAsia="Times New Roman" w:cs="Times New Roman"/>
          <w:color w:val="000000"/>
          <w:spacing w:val="0"/>
          <w:w w:val="100"/>
          <w:position w:val="0"/>
          <w:lang w:eastAsia="en-US" w:bidi="en-US"/>
        </w:rPr>
        <w:t>索</w:t>
      </w:r>
      <w:r>
        <w:rPr>
          <w:rFonts w:hint="default" w:cs="宋体"/>
          <w:color w:val="000000"/>
          <w:kern w:val="0"/>
          <w:szCs w:val="21"/>
          <w:lang w:eastAsia="zh-CN"/>
        </w:rPr>
        <w:t>关于经济活动规律的假设，该假设需要得到现实经济数据的检验。</w:t>
      </w:r>
    </w:p>
    <w:p>
      <w:pPr>
        <w:numPr>
          <w:ilvl w:val="0"/>
          <w:numId w:val="2"/>
        </w:numPr>
        <w:ind w:left="0" w:leftChars="0" w:firstLine="420" w:firstLineChars="200"/>
        <w:rPr>
          <w:rFonts w:hint="eastAsia" w:cs="Times New Roman"/>
          <w:color w:val="000000"/>
          <w:spacing w:val="0"/>
          <w:w w:val="100"/>
          <w:position w:val="0"/>
          <w:lang w:val="en-US" w:eastAsia="zh-CN" w:bidi="en-US"/>
        </w:rPr>
      </w:pPr>
      <w:r>
        <w:rPr>
          <w:rFonts w:hint="eastAsia" w:cs="Times New Roman"/>
          <w:color w:val="000000"/>
          <w:spacing w:val="0"/>
          <w:w w:val="100"/>
          <w:position w:val="0"/>
          <w:lang w:val="en-US" w:eastAsia="zh-CN" w:bidi="en-US"/>
        </w:rPr>
        <w:t>本文对《国富论》</w:t>
      </w:r>
      <w:r>
        <w:rPr>
          <w:rFonts w:hint="eastAsia" w:ascii="微软雅黑" w:hAnsi="微软雅黑" w:eastAsia="微软雅黑" w:cs="微软雅黑"/>
          <w:color w:val="000000"/>
          <w:spacing w:val="0"/>
          <w:w w:val="100"/>
          <w:position w:val="0"/>
          <w:lang w:val="en-US" w:eastAsia="zh-CN" w:bidi="en-US"/>
        </w:rPr>
        <w:t>、</w:t>
      </w:r>
      <w:r>
        <w:rPr>
          <w:rFonts w:hint="eastAsia" w:cs="Times New Roman"/>
          <w:color w:val="000000"/>
          <w:spacing w:val="0"/>
          <w:w w:val="100"/>
          <w:position w:val="0"/>
          <w:lang w:val="en-US" w:eastAsia="zh-CN" w:bidi="en-US"/>
        </w:rPr>
        <w:t>《通论》</w:t>
      </w:r>
      <w:r>
        <w:rPr>
          <w:rFonts w:hint="eastAsia" w:ascii="微软雅黑" w:hAnsi="微软雅黑" w:eastAsia="微软雅黑" w:cs="微软雅黑"/>
          <w:color w:val="000000"/>
          <w:spacing w:val="0"/>
          <w:w w:val="100"/>
          <w:position w:val="0"/>
          <w:lang w:val="en-US" w:eastAsia="zh-CN" w:bidi="en-US"/>
        </w:rPr>
        <w:t>、</w:t>
      </w:r>
      <w:r>
        <w:rPr>
          <w:rFonts w:hint="eastAsia" w:cs="Times New Roman"/>
          <w:color w:val="000000"/>
          <w:spacing w:val="0"/>
          <w:w w:val="100"/>
          <w:position w:val="0"/>
          <w:lang w:val="en-US" w:eastAsia="zh-CN" w:bidi="en-US"/>
        </w:rPr>
        <w:t>索洛模型</w:t>
      </w:r>
      <w:r>
        <w:rPr>
          <w:rFonts w:hint="eastAsia" w:ascii="微软雅黑" w:hAnsi="微软雅黑" w:eastAsia="微软雅黑" w:cs="微软雅黑"/>
          <w:color w:val="000000"/>
          <w:spacing w:val="0"/>
          <w:w w:val="100"/>
          <w:position w:val="0"/>
          <w:lang w:val="en-US" w:eastAsia="zh-CN" w:bidi="en-US"/>
        </w:rPr>
        <w:t>、</w:t>
      </w:r>
      <w:r>
        <w:rPr>
          <w:rFonts w:hint="eastAsia" w:cs="Times New Roman"/>
          <w:color w:val="000000"/>
          <w:spacing w:val="0"/>
          <w:w w:val="100"/>
          <w:position w:val="0"/>
          <w:lang w:val="en-US" w:eastAsia="zh-CN" w:bidi="en-US"/>
        </w:rPr>
        <w:t>希克斯</w:t>
      </w:r>
      <w:r>
        <w:rPr>
          <w:rFonts w:eastAsia="Times New Roman" w:cs="Times New Roman"/>
          <w:color w:val="000000"/>
          <w:spacing w:val="0"/>
          <w:w w:val="100"/>
          <w:position w:val="0"/>
          <w:lang w:eastAsia="en-US" w:bidi="en-US"/>
        </w:rPr>
        <w:t>模型</w:t>
      </w:r>
      <w:r>
        <w:rPr>
          <w:rFonts w:hint="eastAsia" w:cs="Times New Roman"/>
          <w:color w:val="000000"/>
          <w:spacing w:val="0"/>
          <w:w w:val="100"/>
          <w:position w:val="0"/>
          <w:lang w:val="en-US" w:eastAsia="zh-CN" w:bidi="en-US"/>
        </w:rPr>
        <w:t>等</w:t>
      </w:r>
      <w:r>
        <w:rPr>
          <w:rFonts w:eastAsia="Times New Roman" w:cs="Times New Roman"/>
          <w:color w:val="000000"/>
          <w:spacing w:val="0"/>
          <w:w w:val="100"/>
          <w:position w:val="0"/>
          <w:lang w:eastAsia="en-US" w:bidi="en-US"/>
        </w:rPr>
        <w:t>的</w:t>
      </w:r>
      <w:r>
        <w:rPr>
          <w:rFonts w:hint="eastAsia" w:cs="Times New Roman"/>
          <w:color w:val="000000"/>
          <w:spacing w:val="0"/>
          <w:w w:val="100"/>
          <w:position w:val="0"/>
          <w:lang w:val="en-US" w:eastAsia="zh-CN" w:bidi="en-US"/>
        </w:rPr>
        <w:t>改进</w:t>
      </w:r>
    </w:p>
    <w:p>
      <w:pPr>
        <w:ind w:left="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改革开放以来取得的巨大成就是重大经济理论现象，也是新古典学派的重大困惑。科学是科学家主观构建的关于研究目标发展规律的形式逻辑体系。从科学的角度讲，一个理论的重大困惑往往意味着该理论基础逻辑的重大缺陷，意味着该理论的重大创新需求。</w:t>
      </w:r>
    </w:p>
    <w:p>
      <w:pPr>
        <w:rPr>
          <w:rFonts w:hint="eastAsia"/>
          <w:lang w:val="en-US" w:eastAsia="zh-CN"/>
        </w:rPr>
      </w:pPr>
      <w:r>
        <w:rPr>
          <w:rFonts w:hint="eastAsia" w:asciiTheme="minorEastAsia" w:hAnsiTheme="minorEastAsia" w:eastAsiaTheme="minorEastAsia" w:cstheme="minorEastAsia"/>
          <w:sz w:val="21"/>
          <w:szCs w:val="21"/>
          <w:lang w:val="en-US" w:eastAsia="zh-CN"/>
        </w:rPr>
        <w:t>本文旨在对主流经济理论新古典学派和凯恩斯学派做出改进，因此首先讨论科学，指出科学是科学家主观构建的逻辑体系。从科学的角度讲，经济思想和哲学思想等社会思想不属于严格意义上的科学，因此提出数学化科学方法论，</w:t>
      </w:r>
      <w:r>
        <w:rPr>
          <w:rFonts w:hint="eastAsia"/>
        </w:rPr>
        <w:t>提出遵循数学化科学方法论的经济理论</w:t>
      </w:r>
      <w:r>
        <w:rPr>
          <w:rFonts w:hint="eastAsia"/>
          <w:lang w:eastAsia="zh-CN"/>
        </w:rPr>
        <w:t>，</w:t>
      </w:r>
      <w:r>
        <w:rPr>
          <w:rFonts w:hint="eastAsia"/>
          <w:lang w:val="en-US" w:eastAsia="zh-CN"/>
        </w:rPr>
        <w:t>即经济理论数学模型</w:t>
      </w:r>
      <w:r>
        <w:rPr>
          <w:rFonts w:hint="eastAsia"/>
          <w:lang w:eastAsia="zh-CN"/>
        </w:rPr>
        <w:t>。</w:t>
      </w:r>
      <w:r>
        <w:rPr>
          <w:rFonts w:hint="eastAsia"/>
          <w:lang w:val="en-US" w:eastAsia="zh-CN"/>
        </w:rPr>
        <w:t>从经济理论数学模型的角度看，阿罗-德布鲁的一般均衡模型是《国富论》经济思想的数学模型化，索洛模型是对阿罗-德布鲁的一般均衡微观模型的简化和宏观化。凯恩斯本人没有构建宏观经济理论数学模型。希克斯的IS-LM的宏观经济理论数学模型与《国富论》的经济思想不一致，与凯恩斯《通论》的思想有共同点</w:t>
      </w:r>
      <w:r>
        <w:rPr>
          <w:rFonts w:hint="default"/>
          <w:lang w:eastAsia="zh-CN"/>
        </w:rPr>
        <w:t>。</w:t>
      </w:r>
      <w:r>
        <w:rPr>
          <w:rFonts w:hint="eastAsia"/>
          <w:lang w:val="en-US" w:eastAsia="zh-CN"/>
        </w:rPr>
        <w:t>后来的学者把希克斯的IS-LM模型称为凯恩斯学派经济理论数学模型。</w:t>
      </w:r>
    </w:p>
    <w:p>
      <w:pPr>
        <w:rPr>
          <w:rFonts w:hint="eastAsia" w:eastAsia="宋体"/>
          <w:lang w:val="en-US" w:eastAsia="zh-CN"/>
        </w:rPr>
      </w:pPr>
      <w:r>
        <w:rPr>
          <w:rFonts w:hint="eastAsia"/>
          <w:lang w:val="en-US" w:eastAsia="zh-CN"/>
        </w:rPr>
        <w:t>本文附录1和附录2讨论了阿罗-德布鲁一般均衡模型成立的条件，指出投资品商品交换存在竞争性均衡的前提条件不成立，指出商品生产存在竞争性均衡的前提条件不成立。</w:t>
      </w:r>
      <w:r>
        <w:rPr>
          <w:rFonts w:hint="eastAsia"/>
        </w:rPr>
        <w:t>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rPr>
        <w:t>。</w:t>
      </w:r>
      <w:r>
        <w:rPr>
          <w:rFonts w:hint="eastAsia"/>
          <w:lang w:val="en-US" w:eastAsia="zh-CN"/>
        </w:rPr>
        <w:t>这个现实</w:t>
      </w:r>
      <w:r>
        <w:rPr>
          <w:rFonts w:hint="default"/>
          <w:lang w:eastAsia="zh-CN"/>
        </w:rPr>
        <w:t>经济数据</w:t>
      </w:r>
      <w:r>
        <w:rPr>
          <w:rFonts w:hint="eastAsia"/>
          <w:lang w:val="en-US" w:eastAsia="zh-CN"/>
        </w:rPr>
        <w:t>也意味着阿罗-德布鲁没有政府干预的自由市场存在一般均衡的假设过强。本文因此提出新的关于市场经济的微观假设，即本文第三节</w:t>
      </w:r>
      <w:r>
        <w:rPr>
          <w:rFonts w:hint="eastAsia"/>
        </w:rPr>
        <w:t>关于市场经济三个互相独立的基本规律假设</w:t>
      </w:r>
      <w:r>
        <w:rPr>
          <w:rFonts w:hint="eastAsia"/>
          <w:lang w:eastAsia="zh-CN"/>
        </w:rPr>
        <w:t>。</w:t>
      </w:r>
    </w:p>
    <w:p>
      <w:pPr>
        <w:rPr>
          <w:rFonts w:hint="default" w:eastAsia="宋体" w:cs="Times New Roman"/>
          <w:color w:val="000000"/>
          <w:spacing w:val="0"/>
          <w:w w:val="100"/>
          <w:position w:val="0"/>
          <w:lang w:val="en-US" w:eastAsia="zh-CN" w:bidi="en-US"/>
        </w:rPr>
      </w:pPr>
      <w:r>
        <w:rPr>
          <w:rFonts w:hint="eastAsia"/>
          <w:lang w:val="en-US" w:eastAsia="zh-CN"/>
        </w:rPr>
        <w:t>无论是</w:t>
      </w:r>
      <w:r>
        <w:rPr>
          <w:rFonts w:hint="eastAsia"/>
        </w:rPr>
        <w:t>新古典</w:t>
      </w:r>
      <w:r>
        <w:rPr>
          <w:rFonts w:hint="default"/>
        </w:rPr>
        <w:t>学派</w:t>
      </w:r>
      <w:r>
        <w:rPr>
          <w:rFonts w:hint="eastAsia"/>
          <w:lang w:val="en-US" w:eastAsia="zh-CN"/>
        </w:rPr>
        <w:t>的索洛宏观数学模型还是</w:t>
      </w:r>
      <w:r>
        <w:rPr>
          <w:rFonts w:hint="eastAsia"/>
        </w:rPr>
        <w:t>凯恩斯学派</w:t>
      </w:r>
      <w:r>
        <w:rPr>
          <w:rFonts w:hint="eastAsia"/>
          <w:lang w:val="en-US" w:eastAsia="zh-CN"/>
        </w:rPr>
        <w:t>希克斯的宏观数学模型，其关于宏观经济变量关系曲线特性的认知都属于一种假设，需要现实经济数据的检验。</w:t>
      </w:r>
      <w:r>
        <w:rPr>
          <w:rFonts w:hint="eastAsia"/>
        </w:rPr>
        <w:t>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lang w:eastAsia="zh-CN"/>
        </w:rPr>
        <w:t>，</w:t>
      </w:r>
      <w:r>
        <w:rPr>
          <w:rFonts w:hint="eastAsia"/>
          <w:lang w:val="en-US" w:eastAsia="zh-CN"/>
        </w:rPr>
        <w:t>用这个数据检验索洛模型和希克斯模型，这两个模型是不成立的。因为索洛模型和希克斯模型都认为市场经济存在优化稳定均衡解，上述数据不支持</w:t>
      </w:r>
      <w:r>
        <w:rPr>
          <w:rFonts w:hint="default"/>
          <w:lang w:eastAsia="zh-CN"/>
        </w:rPr>
        <w:t>市场经济活动存在</w:t>
      </w:r>
      <w:r>
        <w:rPr>
          <w:rFonts w:hint="eastAsia"/>
          <w:lang w:val="en-US" w:eastAsia="zh-CN"/>
        </w:rPr>
        <w:t>优化稳定均衡解的说法。为此本文提出新的宏观经济变量关系曲线，即</w:t>
      </w:r>
      <w:r>
        <w:rPr>
          <w:rFonts w:hint="eastAsia"/>
        </w:rPr>
        <w:t>名义价格社会产出与货币供应量增长率、不变价格社会产出与货币供应量增长率</w:t>
      </w:r>
      <w:r>
        <w:rPr>
          <w:rFonts w:hint="eastAsia" w:ascii="微软雅黑" w:hAnsi="微软雅黑" w:eastAsia="微软雅黑" w:cs="微软雅黑"/>
        </w:rPr>
        <w:t>、</w:t>
      </w:r>
      <w:r>
        <w:rPr>
          <w:rFonts w:hint="eastAsia"/>
        </w:rPr>
        <w:t>通货膨胀率与货币供应量增长率</w:t>
      </w:r>
      <w:r>
        <w:rPr>
          <w:rFonts w:hint="eastAsia"/>
          <w:lang w:val="en-US" w:eastAsia="zh-CN"/>
        </w:rPr>
        <w:t>三条</w:t>
      </w:r>
      <w:r>
        <w:rPr>
          <w:rFonts w:hint="eastAsia"/>
        </w:rPr>
        <w:t>关系曲线</w:t>
      </w:r>
      <w:r>
        <w:rPr>
          <w:rFonts w:hint="eastAsia"/>
          <w:lang w:eastAsia="zh-CN"/>
        </w:rPr>
        <w:t>，</w:t>
      </w:r>
      <w:r>
        <w:rPr>
          <w:rFonts w:hint="eastAsia"/>
          <w:lang w:val="en-US" w:eastAsia="zh-CN"/>
        </w:rPr>
        <w:t>并对这三条关系曲线的特性做出如下图所示的假设，把通货膨胀率控制在政策目标之下作为政府政策的约束。</w:t>
      </w:r>
    </w:p>
    <w:p>
      <w:pPr>
        <w:numPr>
          <w:ilvl w:val="0"/>
          <w:numId w:val="0"/>
        </w:numPr>
        <w:ind w:leftChars="200"/>
        <w:rPr>
          <w:rFonts w:eastAsia="Times New Roman" w:cs="Times New Roman"/>
          <w:color w:val="000000"/>
          <w:spacing w:val="0"/>
          <w:w w:val="100"/>
          <w:position w:val="0"/>
          <w:lang w:eastAsia="en-US" w:bidi="en-US"/>
        </w:rPr>
      </w:pPr>
      <w:r>
        <w:drawing>
          <wp:inline distT="0" distB="0" distL="0" distR="0">
            <wp:extent cx="3364865" cy="2469515"/>
            <wp:effectExtent l="0" t="0" r="635"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a:extLst>
                        <a:ext uri="{28A0092B-C50C-407E-A947-70E740481C1C}">
                          <a14:useLocalDpi xmlns:a14="http://schemas.microsoft.com/office/drawing/2010/main" val="0"/>
                        </a:ext>
                      </a:extLst>
                    </a:blip>
                    <a:srcRect l="22772" t="28942" r="34096" b="14786"/>
                    <a:stretch>
                      <a:fillRect/>
                    </a:stretch>
                  </pic:blipFill>
                  <pic:spPr>
                    <a:xfrm>
                      <a:off x="0" y="0"/>
                      <a:ext cx="3381922" cy="2482480"/>
                    </a:xfrm>
                    <a:prstGeom prst="rect">
                      <a:avLst/>
                    </a:prstGeom>
                    <a:noFill/>
                    <a:ln>
                      <a:noFill/>
                    </a:ln>
                  </pic:spPr>
                </pic:pic>
              </a:graphicData>
            </a:graphic>
          </wp:inline>
        </w:drawing>
      </w:r>
    </w:p>
    <w:p>
      <w:pPr>
        <w:ind w:left="0" w:leftChars="0" w:firstLine="0" w:firstLineChars="0"/>
        <w:rPr>
          <w:rFonts w:hint="eastAsia" w:cs="Times New Roman"/>
          <w:color w:val="000000"/>
          <w:spacing w:val="0"/>
          <w:w w:val="100"/>
          <w:position w:val="0"/>
          <w:lang w:val="en-US" w:eastAsia="zh-CN" w:bidi="en-US"/>
        </w:rPr>
      </w:pPr>
    </w:p>
    <w:p>
      <w:pPr>
        <w:widowControl w:val="0"/>
        <w:numPr>
          <w:ilvl w:val="0"/>
          <w:numId w:val="0"/>
        </w:numPr>
        <w:ind w:firstLine="420"/>
        <w:jc w:val="both"/>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color w:val="000000"/>
          <w:spacing w:val="0"/>
          <w:w w:val="100"/>
          <w:position w:val="0"/>
          <w:lang w:val="en-US" w:eastAsia="zh-CN" w:bidi="en-US"/>
        </w:rPr>
        <w:t>索洛模型和希克斯模型的解是优化稳定均衡均解，本文模型不变价格社会产出</w:t>
      </w:r>
      <m:oMath>
        <m:sSup>
          <m:sSupPr>
            <m:ctrlPr>
              <w:rPr>
                <w:rFonts w:hint="eastAsia" w:ascii="Cambria Math" w:hAnsi="Cambria Math" w:eastAsiaTheme="minorEastAsia" w:cstheme="minorEastAsia"/>
                <w:i/>
                <w:color w:val="000000"/>
                <w:spacing w:val="0"/>
                <w:w w:val="100"/>
                <w:position w:val="0"/>
                <w:lang w:val="en-US" w:bidi="en-US"/>
              </w:rPr>
            </m:ctrlPr>
          </m:sSupPr>
          <m:e>
            <m:r>
              <m:rPr/>
              <w:rPr>
                <w:rFonts w:hint="eastAsia" w:ascii="Cambria Math" w:hAnsi="Cambria Math" w:eastAsiaTheme="minorEastAsia" w:cstheme="minorEastAsia"/>
                <w:color w:val="000000"/>
                <w:spacing w:val="0"/>
                <w:w w:val="100"/>
                <w:position w:val="0"/>
                <w:lang w:val="en-US" w:eastAsia="zh-CN" w:bidi="en-US"/>
              </w:rPr>
              <m:t>y</m:t>
            </m:r>
            <m:ctrlPr>
              <w:rPr>
                <w:rFonts w:hint="eastAsia" w:ascii="Cambria Math" w:hAnsi="Cambria Math" w:eastAsiaTheme="minorEastAsia" w:cstheme="minorEastAsia"/>
                <w:i/>
                <w:color w:val="000000"/>
                <w:spacing w:val="0"/>
                <w:w w:val="100"/>
                <w:position w:val="0"/>
                <w:lang w:val="en-US" w:bidi="en-US"/>
              </w:rPr>
            </m:ctrlPr>
          </m:e>
          <m:sup>
            <m:r>
              <m:rPr/>
              <w:rPr>
                <w:rFonts w:hint="eastAsia" w:ascii="Cambria Math" w:hAnsi="Cambria Math" w:eastAsiaTheme="minorEastAsia" w:cstheme="minorEastAsia"/>
                <w:color w:val="000000"/>
                <w:spacing w:val="0"/>
                <w:w w:val="100"/>
                <w:position w:val="0"/>
                <w:lang w:val="en-US" w:eastAsia="zh-CN" w:bidi="en-US"/>
              </w:rPr>
              <m:t>'</m:t>
            </m:r>
            <m:ctrlPr>
              <w:rPr>
                <w:rFonts w:hint="eastAsia" w:ascii="Cambria Math" w:hAnsi="Cambria Math" w:eastAsiaTheme="minorEastAsia" w:cstheme="minorEastAsia"/>
                <w:i/>
                <w:color w:val="000000"/>
                <w:spacing w:val="0"/>
                <w:w w:val="100"/>
                <w:position w:val="0"/>
                <w:lang w:val="en-US" w:bidi="en-US"/>
              </w:rPr>
            </m:ctrlPr>
          </m:sup>
        </m:sSup>
      </m:oMath>
      <w:r>
        <w:rPr>
          <w:rFonts w:hint="eastAsia" w:asciiTheme="minorEastAsia" w:hAnsiTheme="minorEastAsia" w:eastAsiaTheme="minorEastAsia" w:cstheme="minorEastAsia"/>
          <w:i w:val="0"/>
          <w:color w:val="000000"/>
          <w:spacing w:val="0"/>
          <w:w w:val="100"/>
          <w:position w:val="0"/>
          <w:lang w:val="en-US" w:eastAsia="zh-CN" w:bidi="en-US"/>
        </w:rPr>
        <w:t>的解是一个范围，</w:t>
      </w:r>
      <m:oMath>
        <m:sSup>
          <m:sSupPr>
            <m:ctrlPr>
              <w:rPr>
                <w:rFonts w:hint="eastAsia" w:ascii="Cambria Math" w:hAnsi="Cambria Math" w:eastAsiaTheme="minorEastAsia" w:cstheme="minorEastAsia"/>
                <w:i/>
                <w:color w:val="000000"/>
                <w:spacing w:val="0"/>
                <w:w w:val="100"/>
                <w:position w:val="0"/>
                <w:lang w:val="en-US" w:bidi="en-US"/>
              </w:rPr>
            </m:ctrlPr>
          </m:sSupPr>
          <m:e>
            <m:r>
              <m:rPr/>
              <w:rPr>
                <w:rFonts w:hint="eastAsia" w:ascii="Cambria Math" w:hAnsi="Cambria Math" w:eastAsiaTheme="minorEastAsia" w:cstheme="minorEastAsia"/>
                <w:color w:val="000000"/>
                <w:spacing w:val="0"/>
                <w:w w:val="100"/>
                <w:position w:val="0"/>
                <w:lang w:val="en-US" w:eastAsia="zh-CN" w:bidi="en-US"/>
              </w:rPr>
              <m:t>y</m:t>
            </m:r>
            <m:ctrlPr>
              <w:rPr>
                <w:rFonts w:hint="eastAsia" w:ascii="Cambria Math" w:hAnsi="Cambria Math" w:eastAsiaTheme="minorEastAsia" w:cstheme="minorEastAsia"/>
                <w:i/>
                <w:color w:val="000000"/>
                <w:spacing w:val="0"/>
                <w:w w:val="100"/>
                <w:position w:val="0"/>
                <w:lang w:val="en-US" w:bidi="en-US"/>
              </w:rPr>
            </m:ctrlPr>
          </m:e>
          <m:sup>
            <m:r>
              <m:rPr/>
              <w:rPr>
                <w:rFonts w:hint="eastAsia" w:ascii="Cambria Math" w:hAnsi="Cambria Math" w:eastAsiaTheme="minorEastAsia" w:cstheme="minorEastAsia"/>
                <w:color w:val="000000"/>
                <w:spacing w:val="0"/>
                <w:w w:val="100"/>
                <w:position w:val="0"/>
                <w:lang w:val="en-US" w:eastAsia="zh-CN" w:bidi="en-US"/>
              </w:rPr>
              <m:t>'</m:t>
            </m:r>
            <m:ctrlPr>
              <w:rPr>
                <w:rFonts w:hint="eastAsia" w:ascii="Cambria Math" w:hAnsi="Cambria Math" w:eastAsiaTheme="minorEastAsia" w:cstheme="minorEastAsia"/>
                <w:i/>
                <w:color w:val="000000"/>
                <w:spacing w:val="0"/>
                <w:w w:val="100"/>
                <w:position w:val="0"/>
                <w:lang w:val="en-US" w:bidi="en-US"/>
              </w:rPr>
            </m:ctrlPr>
          </m:sup>
        </m:sSup>
      </m:oMath>
      <w:r>
        <w:rPr>
          <w:rFonts w:hint="eastAsia" w:asciiTheme="minorEastAsia" w:hAnsiTheme="minorEastAsia" w:eastAsiaTheme="minorEastAsia" w:cstheme="minorEastAsia"/>
          <w:i w:val="0"/>
          <w:color w:val="000000"/>
          <w:spacing w:val="0"/>
          <w:w w:val="100"/>
          <w:position w:val="0"/>
          <w:lang w:val="en-US" w:bidi="en-US"/>
        </w:rPr>
        <w:t>∈</w:t>
      </w:r>
      <w:r>
        <w:rPr>
          <w:rFonts w:hint="eastAsia" w:asciiTheme="minorEastAsia" w:hAnsiTheme="minorEastAsia" w:eastAsiaTheme="minorEastAsia" w:cstheme="minorEastAsia"/>
          <w:i w:val="0"/>
          <w:color w:val="000000"/>
          <w:spacing w:val="0"/>
          <w:w w:val="100"/>
          <w:position w:val="0"/>
          <w:lang w:val="en-US" w:eastAsia="zh-CN" w:bidi="en-US"/>
        </w:rPr>
        <w:t>（0，a），政府政策可以改变这个范围。本文模型的核心是政府通过政府投资和货币政策调节</w:t>
      </w:r>
      <w:r>
        <w:rPr>
          <w:rFonts w:hint="eastAsia" w:asciiTheme="minorEastAsia" w:hAnsiTheme="minorEastAsia" w:eastAsiaTheme="minorEastAsia" w:cstheme="minorEastAsia"/>
          <w:bCs/>
          <w:szCs w:val="21"/>
        </w:rPr>
        <w:t>社会需求(</w:t>
      </w:r>
      <m:oMath>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I</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p</m:t>
            </m:r>
            <m:ctrlPr>
              <w:rPr>
                <w:rFonts w:hint="eastAsia" w:ascii="Cambria Math" w:hAnsi="Cambria Math" w:eastAsiaTheme="minorEastAsia" w:cstheme="minorEastAsia"/>
                <w:bCs/>
                <w:i/>
                <w:szCs w:val="21"/>
              </w:rPr>
            </m:ctrlPr>
          </m:sub>
        </m:sSub>
      </m:oMath>
      <w:r>
        <w:rPr>
          <w:rFonts w:hint="eastAsia" w:asciiTheme="minorEastAsia" w:hAnsiTheme="minorEastAsia" w:eastAsiaTheme="minorEastAsia" w:cstheme="minorEastAsia"/>
          <w:bCs/>
          <w:szCs w:val="21"/>
        </w:rPr>
        <w:t>,</w:t>
      </w:r>
      <m:oMath>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I</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g</m:t>
            </m:r>
            <m:ctrlPr>
              <w:rPr>
                <w:rFonts w:hint="eastAsia" w:ascii="Cambria Math" w:hAnsi="Cambria Math" w:eastAsiaTheme="minorEastAsia" w:cstheme="minorEastAsia"/>
                <w:bCs/>
                <w:i/>
                <w:szCs w:val="21"/>
              </w:rPr>
            </m:ctrlPr>
          </m:sub>
        </m:sSub>
        <m:r>
          <m:rPr/>
          <w:rPr>
            <w:rFonts w:hint="eastAsia" w:ascii="Cambria Math" w:hAnsi="Cambria Math" w:eastAsiaTheme="minorEastAsia" w:cstheme="minorEastAsia"/>
            <w:szCs w:val="21"/>
          </w:rPr>
          <m:t>,</m:t>
        </m:r>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C</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p</m:t>
            </m:r>
            <m:ctrlPr>
              <w:rPr>
                <w:rFonts w:hint="eastAsia" w:ascii="Cambria Math" w:hAnsi="Cambria Math" w:eastAsiaTheme="minorEastAsia" w:cstheme="minorEastAsia"/>
                <w:bCs/>
                <w:i/>
                <w:szCs w:val="21"/>
              </w:rPr>
            </m:ctrlPr>
          </m:sub>
        </m:sSub>
      </m:oMath>
      <w:r>
        <w:rPr>
          <w:rFonts w:hint="eastAsia" w:asciiTheme="minorEastAsia" w:hAnsiTheme="minorEastAsia" w:eastAsiaTheme="minorEastAsia" w:cstheme="minorEastAsia"/>
          <w:bCs/>
          <w:szCs w:val="21"/>
        </w:rPr>
        <w:t>,</w:t>
      </w:r>
      <m:oMath>
        <m:sSub>
          <m:sSubPr>
            <m:ctrlPr>
              <w:rPr>
                <w:rFonts w:hint="eastAsia" w:ascii="Cambria Math" w:hAnsi="Cambria Math" w:eastAsiaTheme="minorEastAsia" w:cstheme="minorEastAsia"/>
                <w:bCs/>
                <w:i/>
                <w:szCs w:val="21"/>
              </w:rPr>
            </m:ctrlPr>
          </m:sSubPr>
          <m:e>
            <m:r>
              <m:rPr/>
              <w:rPr>
                <w:rFonts w:hint="eastAsia" w:ascii="Cambria Math" w:hAnsi="Cambria Math" w:eastAsiaTheme="minorEastAsia" w:cstheme="minorEastAsia"/>
                <w:szCs w:val="21"/>
              </w:rPr>
              <m:t>C</m:t>
            </m:r>
            <m:ctrlPr>
              <w:rPr>
                <w:rFonts w:hint="eastAsia" w:ascii="Cambria Math" w:hAnsi="Cambria Math" w:eastAsiaTheme="minorEastAsia" w:cstheme="minorEastAsia"/>
                <w:bCs/>
                <w:i/>
                <w:szCs w:val="21"/>
              </w:rPr>
            </m:ctrlPr>
          </m:e>
          <m:sub>
            <m:r>
              <m:rPr/>
              <w:rPr>
                <w:rFonts w:hint="eastAsia" w:ascii="Cambria Math" w:hAnsi="Cambria Math" w:eastAsiaTheme="minorEastAsia" w:cstheme="minorEastAsia"/>
                <w:szCs w:val="21"/>
              </w:rPr>
              <m:t>g</m:t>
            </m:r>
            <m:ctrlPr>
              <w:rPr>
                <w:rFonts w:hint="eastAsia" w:ascii="Cambria Math" w:hAnsi="Cambria Math" w:eastAsiaTheme="minorEastAsia" w:cstheme="minorEastAsia"/>
                <w:bCs/>
                <w:i/>
                <w:szCs w:val="21"/>
              </w:rPr>
            </m:ctrlPr>
          </m:sub>
        </m:sSub>
      </m:oMath>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保证通货膨胀率在政策目标的前提下最大程度平滑经济波动，最大程度挖掘经济产出潜力，最大程度改善民众生活水平和提高经济体禀赋</w:t>
      </w: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r>
        <w:rPr>
          <w:rFonts w:hint="eastAsia"/>
          <w:bCs/>
          <w:szCs w:val="21"/>
          <w:lang w:eastAsia="zh-CN"/>
        </w:rPr>
        <w:t>。</w:t>
      </w:r>
      <w:r>
        <w:rPr>
          <w:bCs/>
          <w:szCs w:val="21"/>
        </w:rPr>
        <w:t xml:space="preserve"> </w:t>
      </w:r>
    </w:p>
    <w:p>
      <w:pPr>
        <w:widowControl w:val="0"/>
        <w:numPr>
          <w:ilvl w:val="0"/>
          <w:numId w:val="0"/>
        </w:numPr>
        <w:ind w:firstLine="420"/>
        <w:jc w:val="both"/>
        <w:rPr>
          <w:rFonts w:hint="default" w:cs="Times New Roman" w:eastAsiaTheme="minorEastAsia"/>
          <w:color w:val="000000"/>
          <w:spacing w:val="0"/>
          <w:w w:val="100"/>
          <w:position w:val="0"/>
          <w:lang w:val="en-US" w:eastAsia="zh-CN" w:bidi="en-US"/>
        </w:rPr>
      </w:pPr>
      <w:r>
        <w:rPr>
          <w:rFonts w:hint="eastAsia" w:asciiTheme="minorEastAsia" w:hAnsiTheme="minorEastAsia" w:eastAsiaTheme="minorEastAsia" w:cstheme="minorEastAsia"/>
          <w:sz w:val="21"/>
          <w:szCs w:val="21"/>
        </w:rPr>
        <w:t>同希克斯、索洛、罗默、曼昆等的文章一样，本文未对模型进行检验和实证。</w:t>
      </w:r>
      <w:r>
        <w:rPr>
          <w:rFonts w:hint="eastAsia" w:asciiTheme="minorEastAsia" w:hAnsiTheme="minorEastAsia" w:eastAsiaTheme="minorEastAsia" w:cstheme="minorEastAsia"/>
          <w:sz w:val="21"/>
          <w:szCs w:val="21"/>
          <w:lang w:val="en-US" w:eastAsia="zh-CN"/>
        </w:rPr>
        <w:t>实际上，这种模型的实证需要学术共同体长期做，而不是通过一篇论文的数据来完成。</w:t>
      </w:r>
    </w:p>
    <w:p>
      <w:pPr>
        <w:numPr>
          <w:ilvl w:val="0"/>
          <w:numId w:val="0"/>
        </w:numPr>
        <w:rPr>
          <w:rFonts w:hint="default" w:cs="Times New Roman"/>
          <w:color w:val="000000"/>
          <w:spacing w:val="0"/>
          <w:w w:val="100"/>
          <w:position w:val="0"/>
          <w:lang w:val="en-US" w:eastAsia="zh-CN" w:bidi="en-US"/>
        </w:rPr>
      </w:pPr>
      <w:r>
        <w:rPr>
          <w:rFonts w:hint="eastAsia" w:hAnsi="Cambria Math" w:eastAsia="微软雅黑" w:cs="Times New Roman"/>
          <w:i w:val="0"/>
          <w:color w:val="000000"/>
          <w:spacing w:val="0"/>
          <w:w w:val="100"/>
          <w:position w:val="0"/>
          <w:lang w:val="en-US" w:eastAsia="zh-CN" w:bidi="en-US"/>
        </w:rPr>
        <w:t xml:space="preserve">  </w:t>
      </w:r>
      <w:r>
        <w:rPr>
          <w:rFonts w:hint="eastAsia" w:asciiTheme="minorEastAsia" w:hAnsiTheme="minorEastAsia" w:eastAsiaTheme="minorEastAsia" w:cstheme="minorEastAsia"/>
          <w:i w:val="0"/>
          <w:color w:val="000000"/>
          <w:spacing w:val="0"/>
          <w:w w:val="100"/>
          <w:position w:val="0"/>
          <w:lang w:val="en-US" w:eastAsia="zh-CN" w:bidi="en-US"/>
        </w:rPr>
        <w:t xml:space="preserve">  9，数学用来定义经济体和表述经济规律假设</w:t>
      </w:r>
    </w:p>
    <w:p>
      <w:pPr>
        <w:numPr>
          <w:ilvl w:val="0"/>
          <w:numId w:val="0"/>
        </w:numPr>
        <w:ind w:firstLine="420" w:firstLineChars="200"/>
        <w:rPr>
          <w:rFonts w:hint="eastAsia"/>
          <w:bCs/>
          <w:szCs w:val="21"/>
          <w:lang w:val="en-US" w:eastAsia="zh-CN"/>
        </w:rPr>
      </w:pPr>
      <w:r>
        <w:rPr>
          <w:rFonts w:hint="eastAsia"/>
          <w:bCs/>
          <w:szCs w:val="21"/>
          <w:lang w:val="en-US" w:eastAsia="zh-CN"/>
        </w:rPr>
        <w:t>无论是阿罗-德布鲁一般均衡微观模型还是索洛和希克斯的宏观模型，数学都是用来定义经济体的，把现实经济体抽象成理想化的模型经济体，并用数学符号和函数表述经济变量。经济学家关于经济活动规律的假设则用数学方程表述。</w:t>
      </w:r>
    </w:p>
    <w:p>
      <w:pPr>
        <w:numPr>
          <w:ilvl w:val="0"/>
          <w:numId w:val="0"/>
        </w:numPr>
        <w:ind w:firstLine="420" w:firstLineChars="200"/>
        <w:rPr>
          <w:rFonts w:hint="eastAsia"/>
          <w:bCs/>
          <w:szCs w:val="21"/>
          <w:lang w:eastAsia="zh-CN"/>
        </w:rPr>
      </w:pPr>
      <w:r>
        <w:rPr>
          <w:rFonts w:hint="eastAsia"/>
          <w:bCs/>
          <w:szCs w:val="21"/>
          <w:lang w:val="en-US" w:eastAsia="zh-CN"/>
        </w:rPr>
        <w:t>本文模型与索洛模型</w:t>
      </w:r>
      <w:r>
        <w:rPr>
          <w:rFonts w:hint="eastAsia" w:ascii="微软雅黑" w:hAnsi="微软雅黑" w:eastAsia="微软雅黑" w:cs="微软雅黑"/>
          <w:bCs/>
          <w:szCs w:val="21"/>
          <w:lang w:val="en-US" w:eastAsia="zh-CN"/>
        </w:rPr>
        <w:t>、</w:t>
      </w:r>
      <w:r>
        <w:rPr>
          <w:rFonts w:hint="eastAsia"/>
          <w:bCs/>
          <w:szCs w:val="21"/>
          <w:lang w:val="en-US" w:eastAsia="zh-CN"/>
        </w:rPr>
        <w:t>希克斯模型不同的地方在于索洛模型</w:t>
      </w:r>
      <w:r>
        <w:rPr>
          <w:rFonts w:hint="eastAsia" w:ascii="微软雅黑" w:hAnsi="微软雅黑" w:eastAsia="微软雅黑" w:cs="微软雅黑"/>
          <w:bCs/>
          <w:szCs w:val="21"/>
          <w:lang w:val="en-US" w:eastAsia="zh-CN"/>
        </w:rPr>
        <w:t>、</w:t>
      </w:r>
      <w:r>
        <w:rPr>
          <w:rFonts w:hint="eastAsia"/>
          <w:bCs/>
          <w:szCs w:val="21"/>
          <w:lang w:val="en-US" w:eastAsia="zh-CN"/>
        </w:rPr>
        <w:t>希克斯模型方程的解是一个点，即优化稳定均衡点，而本</w:t>
      </w:r>
      <w:r>
        <w:rPr>
          <w:rFonts w:hint="eastAsia" w:asciiTheme="minorEastAsia" w:hAnsiTheme="minorEastAsia" w:eastAsiaTheme="minorEastAsia" w:cstheme="minorEastAsia"/>
          <w:i w:val="0"/>
          <w:color w:val="000000"/>
          <w:spacing w:val="0"/>
          <w:w w:val="100"/>
          <w:position w:val="0"/>
          <w:lang w:val="en-US" w:eastAsia="zh-CN" w:bidi="en-US"/>
        </w:rPr>
        <w:t>文模型的解不是一个优化稳定均衡点</w:t>
      </w:r>
      <w:r>
        <w:rPr>
          <w:rFonts w:hint="eastAsia"/>
          <w:bCs/>
          <w:szCs w:val="21"/>
          <w:lang w:val="en-US" w:eastAsia="zh-CN"/>
        </w:rPr>
        <w:t>而是一个阈值范围，</w:t>
      </w:r>
      <m:oMath>
        <m:sSup>
          <m:sSupPr>
            <m:ctrlPr>
              <w:rPr>
                <w:rFonts w:ascii="Cambria Math" w:hAnsi="Cambria Math" w:cs="Times New Roman"/>
                <w:i/>
                <w:color w:val="000000"/>
                <w:spacing w:val="0"/>
                <w:w w:val="100"/>
                <w:position w:val="0"/>
                <w:lang w:val="en-US" w:bidi="en-US"/>
              </w:rPr>
            </m:ctrlPr>
          </m:sSupPr>
          <m:e>
            <m:r>
              <m:rPr/>
              <w:rPr>
                <w:rFonts w:hint="default" w:ascii="Cambria Math" w:hAnsi="Cambria Math" w:cs="Times New Roman"/>
                <w:color w:val="000000"/>
                <w:spacing w:val="0"/>
                <w:w w:val="100"/>
                <w:position w:val="0"/>
                <w:lang w:val="en-US" w:eastAsia="zh-CN" w:bidi="en-US"/>
              </w:rPr>
              <m:t>y</m:t>
            </m:r>
            <m:ctrlPr>
              <w:rPr>
                <w:rFonts w:ascii="Cambria Math" w:hAnsi="Cambria Math" w:cs="Times New Roman"/>
                <w:i/>
                <w:color w:val="000000"/>
                <w:spacing w:val="0"/>
                <w:w w:val="100"/>
                <w:position w:val="0"/>
                <w:lang w:val="en-US" w:bidi="en-US"/>
              </w:rPr>
            </m:ctrlPr>
          </m:e>
          <m:sup>
            <m:r>
              <m:rPr/>
              <w:rPr>
                <w:rFonts w:hint="default" w:ascii="Cambria Math" w:hAnsi="Cambria Math" w:cs="Times New Roman"/>
                <w:color w:val="000000"/>
                <w:spacing w:val="0"/>
                <w:w w:val="100"/>
                <w:position w:val="0"/>
                <w:lang w:val="en-US" w:eastAsia="zh-CN" w:bidi="en-US"/>
              </w:rPr>
              <m:t>'</m:t>
            </m:r>
            <m:ctrlPr>
              <w:rPr>
                <w:rFonts w:ascii="Cambria Math" w:hAnsi="Cambria Math" w:cs="Times New Roman"/>
                <w:i/>
                <w:color w:val="000000"/>
                <w:spacing w:val="0"/>
                <w:w w:val="100"/>
                <w:position w:val="0"/>
                <w:lang w:val="en-US" w:bidi="en-US"/>
              </w:rPr>
            </m:ctrlPr>
          </m:sup>
        </m:sSup>
      </m:oMath>
      <w:r>
        <w:rPr>
          <w:rFonts w:hint="eastAsia" w:ascii="微软雅黑" w:hAnsi="微软雅黑" w:eastAsia="微软雅黑" w:cs="微软雅黑"/>
          <w:i w:val="0"/>
          <w:color w:val="000000"/>
          <w:spacing w:val="0"/>
          <w:w w:val="100"/>
          <w:position w:val="0"/>
          <w:lang w:val="en-US" w:bidi="en-US"/>
        </w:rPr>
        <w:t>∈</w:t>
      </w:r>
      <w:r>
        <w:rPr>
          <w:rFonts w:hint="eastAsia" w:hAnsi="Cambria Math" w:eastAsia="微软雅黑" w:cs="Times New Roman"/>
          <w:i w:val="0"/>
          <w:color w:val="000000"/>
          <w:spacing w:val="0"/>
          <w:w w:val="100"/>
          <w:position w:val="0"/>
          <w:lang w:val="en-US" w:eastAsia="zh-CN" w:bidi="en-US"/>
        </w:rPr>
        <w:t>（0，a）。</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0" w:num="1"/>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131B7D0E-2C81-4794-83D1-EA86301BDB09}"/>
  </w:font>
  <w:font w:name="Cambria Math">
    <w:panose1 w:val="02040503050406030204"/>
    <w:charset w:val="00"/>
    <w:family w:val="roman"/>
    <w:pitch w:val="default"/>
    <w:sig w:usb0="E00006FF" w:usb1="420024FF" w:usb2="02000000" w:usb3="00000000" w:csb0="2000019F" w:csb1="00000000"/>
    <w:embedRegular r:id="rId2" w:fontKey="{7934C90D-B94D-4EAD-B5F7-C71C4B8A2EDD}"/>
  </w:font>
  <w:font w:name="仿宋">
    <w:panose1 w:val="02010609060101010101"/>
    <w:charset w:val="86"/>
    <w:family w:val="modern"/>
    <w:pitch w:val="default"/>
    <w:sig w:usb0="800002BF" w:usb1="38CF7CFA" w:usb2="00000016" w:usb3="00000000" w:csb0="00040001" w:csb1="00000000"/>
    <w:embedRegular r:id="rId3" w:fontKey="{3E808F19-556C-442F-8988-2CFA446BBDE4}"/>
  </w:font>
  <w:font w:name="MS Gothic">
    <w:panose1 w:val="020B0609070205080204"/>
    <w:charset w:val="80"/>
    <w:family w:val="modern"/>
    <w:pitch w:val="default"/>
    <w:sig w:usb0="E00002FF" w:usb1="6AC7FDFB" w:usb2="08000012" w:usb3="00000000" w:csb0="4002009F" w:csb1="DFD70000"/>
    <w:embedRegular r:id="rId4" w:fontKey="{6B8BB981-74AA-47CD-B673-AA836F520FFD}"/>
  </w:font>
  <w:font w:name="MS Mincho">
    <w:altName w:val="ksdb"/>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2B67B"/>
    <w:multiLevelType w:val="singleLevel"/>
    <w:tmpl w:val="9312B67B"/>
    <w:lvl w:ilvl="0" w:tentative="0">
      <w:start w:val="8"/>
      <w:numFmt w:val="chineseCounting"/>
      <w:suff w:val="nothing"/>
      <w:lvlText w:val="（%1）"/>
      <w:lvlJc w:val="left"/>
      <w:pPr>
        <w:ind w:left="420" w:leftChars="0" w:firstLine="0" w:firstLineChars="0"/>
      </w:pPr>
      <w:rPr>
        <w:rFonts w:hint="eastAsia"/>
      </w:rPr>
    </w:lvl>
  </w:abstractNum>
  <w:abstractNum w:abstractNumId="1">
    <w:nsid w:val="A4B0A060"/>
    <w:multiLevelType w:val="singleLevel"/>
    <w:tmpl w:val="A4B0A060"/>
    <w:lvl w:ilvl="0" w:tentative="0">
      <w:start w:val="6"/>
      <w:numFmt w:val="decimal"/>
      <w:suff w:val="nothing"/>
      <w:lvlText w:val="%1，"/>
      <w:lvlJc w:val="left"/>
    </w:lvl>
  </w:abstractNum>
  <w:abstractNum w:abstractNumId="2">
    <w:nsid w:val="D669FDF2"/>
    <w:multiLevelType w:val="singleLevel"/>
    <w:tmpl w:val="D669FDF2"/>
    <w:lvl w:ilvl="0" w:tentative="0">
      <w:start w:val="2"/>
      <w:numFmt w:val="chineseCounting"/>
      <w:suff w:val="nothing"/>
      <w:lvlText w:val="（%1）"/>
      <w:lvlJc w:val="left"/>
      <w:rPr>
        <w:rFonts w:hint="eastAsia"/>
      </w:rPr>
    </w:lvl>
  </w:abstractNum>
  <w:abstractNum w:abstractNumId="3">
    <w:nsid w:val="F75F366A"/>
    <w:multiLevelType w:val="singleLevel"/>
    <w:tmpl w:val="F75F366A"/>
    <w:lvl w:ilvl="0" w:tentative="0">
      <w:start w:val="2"/>
      <w:numFmt w:val="decimal"/>
      <w:suff w:val="space"/>
      <w:lvlText w:val="%1."/>
      <w:lvlJc w:val="left"/>
    </w:lvl>
  </w:abstractNum>
  <w:abstractNum w:abstractNumId="4">
    <w:nsid w:val="040E6395"/>
    <w:multiLevelType w:val="singleLevel"/>
    <w:tmpl w:val="040E6395"/>
    <w:lvl w:ilvl="0" w:tentative="0">
      <w:start w:val="2"/>
      <w:numFmt w:val="decimal"/>
      <w:suff w:val="nothing"/>
      <w:lvlText w:val="%1，"/>
      <w:lvlJc w:val="left"/>
      <w:pPr>
        <w:ind w:left="420" w:leftChars="0" w:firstLine="0" w:firstLineChars="0"/>
      </w:pPr>
    </w:lvl>
  </w:abstractNum>
  <w:abstractNum w:abstractNumId="5">
    <w:nsid w:val="04987266"/>
    <w:multiLevelType w:val="multilevel"/>
    <w:tmpl w:val="04987266"/>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72D6E4F"/>
    <w:multiLevelType w:val="multilevel"/>
    <w:tmpl w:val="672D6E4F"/>
    <w:lvl w:ilvl="0" w:tentative="0">
      <w:start w:val="1"/>
      <w:numFmt w:val="decimal"/>
      <w:lvlText w:val="%1."/>
      <w:lvlJc w:val="left"/>
      <w:pPr>
        <w:ind w:left="780" w:hanging="360"/>
      </w:pPr>
      <w:rPr>
        <w:rFonts w:hint="eastAsia"/>
        <w:spacing w:val="0"/>
        <w:kern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210"/>
  <w:drawingGridVerticalSpacing w:val="194"/>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jMzVmMTRjMTEyY2Y5MWE2OTA1YzY4NjQ3YWQ5NGQifQ=="/>
    <w:docVar w:name="EN.InstantFormat" w:val="&lt;ENInstantFormat&gt;&lt;Enabled&gt;1&lt;/Enabled&gt;&lt;ScanUnformatted&gt;1&lt;/ScanUnformatted&gt;&lt;ScanChanges&gt;1&lt;/ScanChanges&gt;&lt;Suspended&gt;0&lt;/Suspended&gt;&lt;/ENInstantFormat&gt;"/>
    <w:docVar w:name="EN.Layout" w:val="&lt;ENLayout&gt;&lt;Style&gt;APA 6th 基金&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w50pzpwrep2aeerx4v2xdyaa5vzeftr0xv&quot;&gt;钨小论文&lt;record-ids&gt;&lt;item&gt;939&lt;/item&gt;&lt;item&gt;941&lt;/item&gt;&lt;item&gt;942&lt;/item&gt;&lt;item&gt;943&lt;/item&gt;&lt;item&gt;944&lt;/item&gt;&lt;item&gt;945&lt;/item&gt;&lt;item&gt;946&lt;/item&gt;&lt;item&gt;949&lt;/item&gt;&lt;item&gt;950&lt;/item&gt;&lt;item&gt;951&lt;/item&gt;&lt;item&gt;952&lt;/item&gt;&lt;item&gt;953&lt;/item&gt;&lt;item&gt;954&lt;/item&gt;&lt;item&gt;955&lt;/item&gt;&lt;item&gt;956&lt;/item&gt;&lt;item&gt;957&lt;/item&gt;&lt;item&gt;958&lt;/item&gt;&lt;item&gt;959&lt;/item&gt;&lt;item&gt;960&lt;/item&gt;&lt;item&gt;961&lt;/item&gt;&lt;item&gt;962&lt;/item&gt;&lt;item&gt;963&lt;/item&gt;&lt;item&gt;965&lt;/item&gt;&lt;item&gt;966&lt;/item&gt;&lt;item&gt;967&lt;/item&gt;&lt;item&gt;968&lt;/item&gt;&lt;item&gt;969&lt;/item&gt;&lt;item&gt;971&lt;/item&gt;&lt;/record-ids&gt;&lt;/item&gt;&lt;/Libraries&gt;"/>
  </w:docVars>
  <w:rsids>
    <w:rsidRoot w:val="1AA24D9F"/>
    <w:rsid w:val="0000495A"/>
    <w:rsid w:val="00004CD9"/>
    <w:rsid w:val="00032E45"/>
    <w:rsid w:val="00033E77"/>
    <w:rsid w:val="00035030"/>
    <w:rsid w:val="000359BE"/>
    <w:rsid w:val="00045B96"/>
    <w:rsid w:val="00072A74"/>
    <w:rsid w:val="000968CA"/>
    <w:rsid w:val="000F24FB"/>
    <w:rsid w:val="000F2AB6"/>
    <w:rsid w:val="00111A20"/>
    <w:rsid w:val="00142084"/>
    <w:rsid w:val="00143030"/>
    <w:rsid w:val="00164B5A"/>
    <w:rsid w:val="001736C3"/>
    <w:rsid w:val="00184558"/>
    <w:rsid w:val="00194A3E"/>
    <w:rsid w:val="001A1518"/>
    <w:rsid w:val="001B7CB6"/>
    <w:rsid w:val="001C3263"/>
    <w:rsid w:val="002165A7"/>
    <w:rsid w:val="00234BC0"/>
    <w:rsid w:val="00280CFF"/>
    <w:rsid w:val="00281BB6"/>
    <w:rsid w:val="002C4806"/>
    <w:rsid w:val="002D64F7"/>
    <w:rsid w:val="002F39AC"/>
    <w:rsid w:val="003376DF"/>
    <w:rsid w:val="00355D09"/>
    <w:rsid w:val="00364176"/>
    <w:rsid w:val="003654D0"/>
    <w:rsid w:val="00367CE5"/>
    <w:rsid w:val="003A290A"/>
    <w:rsid w:val="003C6D96"/>
    <w:rsid w:val="003D3029"/>
    <w:rsid w:val="003E77DD"/>
    <w:rsid w:val="0041435A"/>
    <w:rsid w:val="00414CFA"/>
    <w:rsid w:val="00425F9A"/>
    <w:rsid w:val="00434B47"/>
    <w:rsid w:val="00473031"/>
    <w:rsid w:val="00484E6D"/>
    <w:rsid w:val="00485799"/>
    <w:rsid w:val="004B1B4E"/>
    <w:rsid w:val="004E75CE"/>
    <w:rsid w:val="00503FCE"/>
    <w:rsid w:val="0053338A"/>
    <w:rsid w:val="00553E4D"/>
    <w:rsid w:val="005574FC"/>
    <w:rsid w:val="00557607"/>
    <w:rsid w:val="005874E2"/>
    <w:rsid w:val="005875F3"/>
    <w:rsid w:val="005C4294"/>
    <w:rsid w:val="0061178D"/>
    <w:rsid w:val="006605F8"/>
    <w:rsid w:val="006A7E66"/>
    <w:rsid w:val="006D06A9"/>
    <w:rsid w:val="006F0C5B"/>
    <w:rsid w:val="006F536C"/>
    <w:rsid w:val="00715616"/>
    <w:rsid w:val="00725F2D"/>
    <w:rsid w:val="007D21EE"/>
    <w:rsid w:val="007F491E"/>
    <w:rsid w:val="00812A50"/>
    <w:rsid w:val="0082040D"/>
    <w:rsid w:val="00831296"/>
    <w:rsid w:val="008920BB"/>
    <w:rsid w:val="00896005"/>
    <w:rsid w:val="008C51E0"/>
    <w:rsid w:val="008D0051"/>
    <w:rsid w:val="008E0850"/>
    <w:rsid w:val="008F2B7F"/>
    <w:rsid w:val="008F5B48"/>
    <w:rsid w:val="00932927"/>
    <w:rsid w:val="0095139E"/>
    <w:rsid w:val="009727E8"/>
    <w:rsid w:val="009D710C"/>
    <w:rsid w:val="00A03C22"/>
    <w:rsid w:val="00A26808"/>
    <w:rsid w:val="00A91F23"/>
    <w:rsid w:val="00AB5942"/>
    <w:rsid w:val="00AD0B32"/>
    <w:rsid w:val="00AF21F5"/>
    <w:rsid w:val="00B14EB7"/>
    <w:rsid w:val="00B37E77"/>
    <w:rsid w:val="00B46918"/>
    <w:rsid w:val="00B667CD"/>
    <w:rsid w:val="00B77A57"/>
    <w:rsid w:val="00BA4809"/>
    <w:rsid w:val="00BD1269"/>
    <w:rsid w:val="00BD673E"/>
    <w:rsid w:val="00C138AD"/>
    <w:rsid w:val="00C3759B"/>
    <w:rsid w:val="00C415E4"/>
    <w:rsid w:val="00C4721D"/>
    <w:rsid w:val="00C51520"/>
    <w:rsid w:val="00C673CF"/>
    <w:rsid w:val="00CA3562"/>
    <w:rsid w:val="00CE0E0B"/>
    <w:rsid w:val="00D656CA"/>
    <w:rsid w:val="00D87CB6"/>
    <w:rsid w:val="00DA4048"/>
    <w:rsid w:val="00DA449A"/>
    <w:rsid w:val="00DE13F5"/>
    <w:rsid w:val="00DE17A8"/>
    <w:rsid w:val="00E10126"/>
    <w:rsid w:val="00E62B8D"/>
    <w:rsid w:val="00E741E2"/>
    <w:rsid w:val="00E77949"/>
    <w:rsid w:val="00E93DB9"/>
    <w:rsid w:val="00EA46C2"/>
    <w:rsid w:val="00EC6C38"/>
    <w:rsid w:val="00ED53C8"/>
    <w:rsid w:val="00EE3C2A"/>
    <w:rsid w:val="00EF6C24"/>
    <w:rsid w:val="00F15FB9"/>
    <w:rsid w:val="00F20A04"/>
    <w:rsid w:val="00F4254E"/>
    <w:rsid w:val="00F65F5E"/>
    <w:rsid w:val="00FF1F8D"/>
    <w:rsid w:val="013A706B"/>
    <w:rsid w:val="01414A03"/>
    <w:rsid w:val="01542D94"/>
    <w:rsid w:val="01565F5C"/>
    <w:rsid w:val="01566568"/>
    <w:rsid w:val="015D0D5E"/>
    <w:rsid w:val="015E29D3"/>
    <w:rsid w:val="01781474"/>
    <w:rsid w:val="017916A6"/>
    <w:rsid w:val="017B2312"/>
    <w:rsid w:val="01944054"/>
    <w:rsid w:val="01A43649"/>
    <w:rsid w:val="01D31E0E"/>
    <w:rsid w:val="01DB2881"/>
    <w:rsid w:val="01DF4FF0"/>
    <w:rsid w:val="01E2048B"/>
    <w:rsid w:val="01E37D82"/>
    <w:rsid w:val="01EA5991"/>
    <w:rsid w:val="0228070C"/>
    <w:rsid w:val="023F66B6"/>
    <w:rsid w:val="0248315D"/>
    <w:rsid w:val="0261662C"/>
    <w:rsid w:val="02642AA9"/>
    <w:rsid w:val="02663402"/>
    <w:rsid w:val="02907ECF"/>
    <w:rsid w:val="02B900CD"/>
    <w:rsid w:val="02ED2DDB"/>
    <w:rsid w:val="03045209"/>
    <w:rsid w:val="03197D80"/>
    <w:rsid w:val="03231B33"/>
    <w:rsid w:val="037216E9"/>
    <w:rsid w:val="037460D1"/>
    <w:rsid w:val="03822CFE"/>
    <w:rsid w:val="03880463"/>
    <w:rsid w:val="03887BE8"/>
    <w:rsid w:val="03966344"/>
    <w:rsid w:val="03A55E7A"/>
    <w:rsid w:val="03AE7116"/>
    <w:rsid w:val="03C3096B"/>
    <w:rsid w:val="03DB0081"/>
    <w:rsid w:val="03DC16D6"/>
    <w:rsid w:val="03EA6562"/>
    <w:rsid w:val="03FB51F8"/>
    <w:rsid w:val="04057F5F"/>
    <w:rsid w:val="0419633C"/>
    <w:rsid w:val="042518DB"/>
    <w:rsid w:val="043A7135"/>
    <w:rsid w:val="044773B2"/>
    <w:rsid w:val="04604903"/>
    <w:rsid w:val="046657AD"/>
    <w:rsid w:val="049A0466"/>
    <w:rsid w:val="04A22F2C"/>
    <w:rsid w:val="04BE0045"/>
    <w:rsid w:val="04D00599"/>
    <w:rsid w:val="04EA3DA3"/>
    <w:rsid w:val="04FC443D"/>
    <w:rsid w:val="051E38D6"/>
    <w:rsid w:val="05216909"/>
    <w:rsid w:val="05255908"/>
    <w:rsid w:val="052A1EA2"/>
    <w:rsid w:val="052E636D"/>
    <w:rsid w:val="05340028"/>
    <w:rsid w:val="05355B4E"/>
    <w:rsid w:val="053A4159"/>
    <w:rsid w:val="053E43B8"/>
    <w:rsid w:val="05452235"/>
    <w:rsid w:val="054D05CE"/>
    <w:rsid w:val="057B0FEA"/>
    <w:rsid w:val="057B7801"/>
    <w:rsid w:val="05852631"/>
    <w:rsid w:val="05893A94"/>
    <w:rsid w:val="058B3A80"/>
    <w:rsid w:val="05A72198"/>
    <w:rsid w:val="05AB7BBE"/>
    <w:rsid w:val="05DE2492"/>
    <w:rsid w:val="05DE61E6"/>
    <w:rsid w:val="05ED01D7"/>
    <w:rsid w:val="05FE47CF"/>
    <w:rsid w:val="06144D22"/>
    <w:rsid w:val="06216017"/>
    <w:rsid w:val="06377F67"/>
    <w:rsid w:val="063B35DF"/>
    <w:rsid w:val="065F10D4"/>
    <w:rsid w:val="06604E4C"/>
    <w:rsid w:val="0667442D"/>
    <w:rsid w:val="067A1050"/>
    <w:rsid w:val="06B06DC8"/>
    <w:rsid w:val="06B4491D"/>
    <w:rsid w:val="06B83A6E"/>
    <w:rsid w:val="06BA1363"/>
    <w:rsid w:val="06C158EB"/>
    <w:rsid w:val="06C61153"/>
    <w:rsid w:val="06E536AB"/>
    <w:rsid w:val="06E75D88"/>
    <w:rsid w:val="06F34995"/>
    <w:rsid w:val="06F75BA2"/>
    <w:rsid w:val="07011CC2"/>
    <w:rsid w:val="070B5E85"/>
    <w:rsid w:val="07347229"/>
    <w:rsid w:val="073C7FDB"/>
    <w:rsid w:val="07541680"/>
    <w:rsid w:val="07554285"/>
    <w:rsid w:val="07644792"/>
    <w:rsid w:val="076F3599"/>
    <w:rsid w:val="07730ECD"/>
    <w:rsid w:val="07763F1B"/>
    <w:rsid w:val="078C305E"/>
    <w:rsid w:val="078F1E3A"/>
    <w:rsid w:val="0795242B"/>
    <w:rsid w:val="079C262E"/>
    <w:rsid w:val="07AA637F"/>
    <w:rsid w:val="07CD02C0"/>
    <w:rsid w:val="07D279C7"/>
    <w:rsid w:val="07DC15D4"/>
    <w:rsid w:val="07DD2E1C"/>
    <w:rsid w:val="07EBA019"/>
    <w:rsid w:val="07F41CF0"/>
    <w:rsid w:val="08001072"/>
    <w:rsid w:val="08013A0C"/>
    <w:rsid w:val="0804576E"/>
    <w:rsid w:val="080812F8"/>
    <w:rsid w:val="08145EEF"/>
    <w:rsid w:val="08242A95"/>
    <w:rsid w:val="08420257"/>
    <w:rsid w:val="08514CBB"/>
    <w:rsid w:val="08674270"/>
    <w:rsid w:val="08777532"/>
    <w:rsid w:val="088E13AC"/>
    <w:rsid w:val="08986B20"/>
    <w:rsid w:val="089D4136"/>
    <w:rsid w:val="08A02B72"/>
    <w:rsid w:val="08AF7661"/>
    <w:rsid w:val="08CA7B35"/>
    <w:rsid w:val="08F75BBB"/>
    <w:rsid w:val="08FE5CED"/>
    <w:rsid w:val="090D303B"/>
    <w:rsid w:val="09216B15"/>
    <w:rsid w:val="092263E9"/>
    <w:rsid w:val="09284798"/>
    <w:rsid w:val="09410F65"/>
    <w:rsid w:val="09656CA2"/>
    <w:rsid w:val="096B1367"/>
    <w:rsid w:val="09730E8F"/>
    <w:rsid w:val="09851FD8"/>
    <w:rsid w:val="09BC7A1B"/>
    <w:rsid w:val="09C05BDB"/>
    <w:rsid w:val="09C21316"/>
    <w:rsid w:val="09C32A1B"/>
    <w:rsid w:val="0A1A2772"/>
    <w:rsid w:val="0A391C3C"/>
    <w:rsid w:val="0A5B2AD2"/>
    <w:rsid w:val="0A603163"/>
    <w:rsid w:val="0AB17B73"/>
    <w:rsid w:val="0AB459D7"/>
    <w:rsid w:val="0ABA54AE"/>
    <w:rsid w:val="0ACE05D7"/>
    <w:rsid w:val="0AD83203"/>
    <w:rsid w:val="0ADB7197"/>
    <w:rsid w:val="0AE4204D"/>
    <w:rsid w:val="0AF36FF9"/>
    <w:rsid w:val="0B0F6C00"/>
    <w:rsid w:val="0B237A5D"/>
    <w:rsid w:val="0B2B5A29"/>
    <w:rsid w:val="0B3D0C39"/>
    <w:rsid w:val="0B6158EF"/>
    <w:rsid w:val="0B622195"/>
    <w:rsid w:val="0B6739CD"/>
    <w:rsid w:val="0B7C3034"/>
    <w:rsid w:val="0B7FCDEF"/>
    <w:rsid w:val="0B925DD0"/>
    <w:rsid w:val="0BAF4976"/>
    <w:rsid w:val="0BBE6246"/>
    <w:rsid w:val="0BCA3494"/>
    <w:rsid w:val="0BD0037E"/>
    <w:rsid w:val="0BE052CD"/>
    <w:rsid w:val="0BF627AF"/>
    <w:rsid w:val="0BFD32C2"/>
    <w:rsid w:val="0C087B18"/>
    <w:rsid w:val="0C0F332E"/>
    <w:rsid w:val="0C191952"/>
    <w:rsid w:val="0C24136F"/>
    <w:rsid w:val="0C434FF4"/>
    <w:rsid w:val="0C497A08"/>
    <w:rsid w:val="0C535778"/>
    <w:rsid w:val="0C6622A2"/>
    <w:rsid w:val="0C6E7535"/>
    <w:rsid w:val="0C77125C"/>
    <w:rsid w:val="0C9475FE"/>
    <w:rsid w:val="0C9523B7"/>
    <w:rsid w:val="0CAF6AB8"/>
    <w:rsid w:val="0CE71E24"/>
    <w:rsid w:val="0CE93BFB"/>
    <w:rsid w:val="0CFA1823"/>
    <w:rsid w:val="0D002EE5"/>
    <w:rsid w:val="0D260E5A"/>
    <w:rsid w:val="0D353CE7"/>
    <w:rsid w:val="0D3F57BC"/>
    <w:rsid w:val="0D684ABA"/>
    <w:rsid w:val="0D780CCE"/>
    <w:rsid w:val="0D7FA77D"/>
    <w:rsid w:val="0DBC3F5E"/>
    <w:rsid w:val="0DD65ED6"/>
    <w:rsid w:val="0DDA1DA8"/>
    <w:rsid w:val="0DFC6EB6"/>
    <w:rsid w:val="0DFF47ED"/>
    <w:rsid w:val="0E3743A4"/>
    <w:rsid w:val="0E3D1FDC"/>
    <w:rsid w:val="0E464928"/>
    <w:rsid w:val="0E6B6866"/>
    <w:rsid w:val="0E6D0107"/>
    <w:rsid w:val="0E7B4348"/>
    <w:rsid w:val="0E836BDA"/>
    <w:rsid w:val="0E8C469F"/>
    <w:rsid w:val="0EBA72EC"/>
    <w:rsid w:val="0EC07104"/>
    <w:rsid w:val="0ED050E8"/>
    <w:rsid w:val="0ED63EFE"/>
    <w:rsid w:val="0EE965EA"/>
    <w:rsid w:val="0EFB6D9A"/>
    <w:rsid w:val="0EFBB6A7"/>
    <w:rsid w:val="0EFEAF24"/>
    <w:rsid w:val="0F0C5CF8"/>
    <w:rsid w:val="0F2B6FD9"/>
    <w:rsid w:val="0F462096"/>
    <w:rsid w:val="0F5D33DD"/>
    <w:rsid w:val="0F6312FE"/>
    <w:rsid w:val="0F7A6F7F"/>
    <w:rsid w:val="0F7FF752"/>
    <w:rsid w:val="0FA1450C"/>
    <w:rsid w:val="0FB75D90"/>
    <w:rsid w:val="0FC11D43"/>
    <w:rsid w:val="0FD46693"/>
    <w:rsid w:val="0FE8213B"/>
    <w:rsid w:val="0FF54858"/>
    <w:rsid w:val="0FF66748"/>
    <w:rsid w:val="0FFC339B"/>
    <w:rsid w:val="10267B04"/>
    <w:rsid w:val="1032785A"/>
    <w:rsid w:val="10497711"/>
    <w:rsid w:val="104E6615"/>
    <w:rsid w:val="10612637"/>
    <w:rsid w:val="107B1489"/>
    <w:rsid w:val="10852ECB"/>
    <w:rsid w:val="108F4A10"/>
    <w:rsid w:val="10FD74D6"/>
    <w:rsid w:val="11004589"/>
    <w:rsid w:val="111B7916"/>
    <w:rsid w:val="113F08FD"/>
    <w:rsid w:val="11477335"/>
    <w:rsid w:val="114B1291"/>
    <w:rsid w:val="114D23C1"/>
    <w:rsid w:val="115A36DF"/>
    <w:rsid w:val="11761B3A"/>
    <w:rsid w:val="11987014"/>
    <w:rsid w:val="11A83289"/>
    <w:rsid w:val="11B23510"/>
    <w:rsid w:val="11B479E7"/>
    <w:rsid w:val="11C442D8"/>
    <w:rsid w:val="11F3335E"/>
    <w:rsid w:val="12072620"/>
    <w:rsid w:val="12084307"/>
    <w:rsid w:val="12154D3D"/>
    <w:rsid w:val="12160CE1"/>
    <w:rsid w:val="125B4DE6"/>
    <w:rsid w:val="126815DB"/>
    <w:rsid w:val="128310BB"/>
    <w:rsid w:val="12851EC3"/>
    <w:rsid w:val="12852F30"/>
    <w:rsid w:val="12A600B7"/>
    <w:rsid w:val="12BD7F31"/>
    <w:rsid w:val="12BE53D5"/>
    <w:rsid w:val="12C423C9"/>
    <w:rsid w:val="12C44409"/>
    <w:rsid w:val="12EB5345"/>
    <w:rsid w:val="12F773AA"/>
    <w:rsid w:val="130059ED"/>
    <w:rsid w:val="130C11DC"/>
    <w:rsid w:val="131216A2"/>
    <w:rsid w:val="132A1271"/>
    <w:rsid w:val="134D0507"/>
    <w:rsid w:val="135E3946"/>
    <w:rsid w:val="13806B2E"/>
    <w:rsid w:val="13892E2F"/>
    <w:rsid w:val="139323BD"/>
    <w:rsid w:val="139D1E32"/>
    <w:rsid w:val="13A50D99"/>
    <w:rsid w:val="13A74451"/>
    <w:rsid w:val="13AC2B57"/>
    <w:rsid w:val="13AE6FC6"/>
    <w:rsid w:val="13E5512D"/>
    <w:rsid w:val="13E9341C"/>
    <w:rsid w:val="13EE4B9B"/>
    <w:rsid w:val="13FF9786"/>
    <w:rsid w:val="141737FA"/>
    <w:rsid w:val="142C247F"/>
    <w:rsid w:val="14347D82"/>
    <w:rsid w:val="144C180C"/>
    <w:rsid w:val="146A05E4"/>
    <w:rsid w:val="147222B2"/>
    <w:rsid w:val="147F0B94"/>
    <w:rsid w:val="148951C4"/>
    <w:rsid w:val="14952165"/>
    <w:rsid w:val="149E7350"/>
    <w:rsid w:val="14BC34EF"/>
    <w:rsid w:val="14D913C2"/>
    <w:rsid w:val="14E25594"/>
    <w:rsid w:val="14EA7401"/>
    <w:rsid w:val="14F51BFA"/>
    <w:rsid w:val="152534E9"/>
    <w:rsid w:val="15367812"/>
    <w:rsid w:val="153876C0"/>
    <w:rsid w:val="153B3ECA"/>
    <w:rsid w:val="15523757"/>
    <w:rsid w:val="15681628"/>
    <w:rsid w:val="156F3987"/>
    <w:rsid w:val="157B135B"/>
    <w:rsid w:val="157D50D3"/>
    <w:rsid w:val="15A97411"/>
    <w:rsid w:val="15AB3A40"/>
    <w:rsid w:val="15D25738"/>
    <w:rsid w:val="15D610E1"/>
    <w:rsid w:val="15DB44F0"/>
    <w:rsid w:val="1604747C"/>
    <w:rsid w:val="1607353E"/>
    <w:rsid w:val="16074E97"/>
    <w:rsid w:val="16251382"/>
    <w:rsid w:val="16302145"/>
    <w:rsid w:val="16561375"/>
    <w:rsid w:val="16753FFC"/>
    <w:rsid w:val="169B02CB"/>
    <w:rsid w:val="16B06D00"/>
    <w:rsid w:val="16B54D41"/>
    <w:rsid w:val="16C1729B"/>
    <w:rsid w:val="16D476F1"/>
    <w:rsid w:val="16DB6903"/>
    <w:rsid w:val="16E11893"/>
    <w:rsid w:val="16FE40BB"/>
    <w:rsid w:val="171B24B4"/>
    <w:rsid w:val="172A294C"/>
    <w:rsid w:val="173ADDAD"/>
    <w:rsid w:val="174A03C5"/>
    <w:rsid w:val="1750790A"/>
    <w:rsid w:val="175ED3B7"/>
    <w:rsid w:val="176669FA"/>
    <w:rsid w:val="17681DB3"/>
    <w:rsid w:val="1777CF3B"/>
    <w:rsid w:val="178D0A2A"/>
    <w:rsid w:val="1796659D"/>
    <w:rsid w:val="17976A81"/>
    <w:rsid w:val="17B1635B"/>
    <w:rsid w:val="17E6E6B3"/>
    <w:rsid w:val="17FA27BD"/>
    <w:rsid w:val="17FB0EBD"/>
    <w:rsid w:val="180C6BE2"/>
    <w:rsid w:val="180F51E8"/>
    <w:rsid w:val="1811244B"/>
    <w:rsid w:val="18211DB1"/>
    <w:rsid w:val="183C240D"/>
    <w:rsid w:val="185D743E"/>
    <w:rsid w:val="187109D1"/>
    <w:rsid w:val="18787DD4"/>
    <w:rsid w:val="187B70B9"/>
    <w:rsid w:val="187F1162"/>
    <w:rsid w:val="18D17096"/>
    <w:rsid w:val="18EF1AA1"/>
    <w:rsid w:val="18F31380"/>
    <w:rsid w:val="18F558C8"/>
    <w:rsid w:val="18F7519C"/>
    <w:rsid w:val="18F84049"/>
    <w:rsid w:val="19067AD5"/>
    <w:rsid w:val="190F19C3"/>
    <w:rsid w:val="191A0E8B"/>
    <w:rsid w:val="191D7B19"/>
    <w:rsid w:val="193361C3"/>
    <w:rsid w:val="1938118C"/>
    <w:rsid w:val="19551A49"/>
    <w:rsid w:val="19640A7D"/>
    <w:rsid w:val="199466D9"/>
    <w:rsid w:val="19996254"/>
    <w:rsid w:val="19C1039A"/>
    <w:rsid w:val="19F422B4"/>
    <w:rsid w:val="19F745AA"/>
    <w:rsid w:val="19FE7BC5"/>
    <w:rsid w:val="19FEF344"/>
    <w:rsid w:val="1A3366A8"/>
    <w:rsid w:val="1A491E89"/>
    <w:rsid w:val="1A5A3D17"/>
    <w:rsid w:val="1A5D1977"/>
    <w:rsid w:val="1A5F124B"/>
    <w:rsid w:val="1A7171D0"/>
    <w:rsid w:val="1A9058A9"/>
    <w:rsid w:val="1A954C6D"/>
    <w:rsid w:val="1AA24D9F"/>
    <w:rsid w:val="1AB44CD3"/>
    <w:rsid w:val="1ABE22CB"/>
    <w:rsid w:val="1ACC0979"/>
    <w:rsid w:val="1AD67034"/>
    <w:rsid w:val="1AFEC3DA"/>
    <w:rsid w:val="1B081C1D"/>
    <w:rsid w:val="1B1D1E8B"/>
    <w:rsid w:val="1B3B1CB8"/>
    <w:rsid w:val="1B5468D6"/>
    <w:rsid w:val="1B5944E3"/>
    <w:rsid w:val="1B5A10D6"/>
    <w:rsid w:val="1B7A20B5"/>
    <w:rsid w:val="1B80591D"/>
    <w:rsid w:val="1B81230E"/>
    <w:rsid w:val="1B8F3DB2"/>
    <w:rsid w:val="1B9A1D4F"/>
    <w:rsid w:val="1BB315FD"/>
    <w:rsid w:val="1BB32FDB"/>
    <w:rsid w:val="1BBB6EB5"/>
    <w:rsid w:val="1BBD013E"/>
    <w:rsid w:val="1BCA6A0D"/>
    <w:rsid w:val="1BFF7A30"/>
    <w:rsid w:val="1C1A4110"/>
    <w:rsid w:val="1C2255D4"/>
    <w:rsid w:val="1C2F10F1"/>
    <w:rsid w:val="1C327C48"/>
    <w:rsid w:val="1C3A1459"/>
    <w:rsid w:val="1C511068"/>
    <w:rsid w:val="1C8431EB"/>
    <w:rsid w:val="1CB17093"/>
    <w:rsid w:val="1CB834AA"/>
    <w:rsid w:val="1CBF4223"/>
    <w:rsid w:val="1CC73D4A"/>
    <w:rsid w:val="1CD37B43"/>
    <w:rsid w:val="1CD7058E"/>
    <w:rsid w:val="1CE97ACB"/>
    <w:rsid w:val="1CEC1D3A"/>
    <w:rsid w:val="1CEC4AB5"/>
    <w:rsid w:val="1CFE39F6"/>
    <w:rsid w:val="1D0F4A0D"/>
    <w:rsid w:val="1D2422D8"/>
    <w:rsid w:val="1D287E09"/>
    <w:rsid w:val="1D3D200B"/>
    <w:rsid w:val="1D3E0495"/>
    <w:rsid w:val="1D482603"/>
    <w:rsid w:val="1D4E165E"/>
    <w:rsid w:val="1D4F48F9"/>
    <w:rsid w:val="1D526C7A"/>
    <w:rsid w:val="1D590977"/>
    <w:rsid w:val="1D635D74"/>
    <w:rsid w:val="1D7D24C4"/>
    <w:rsid w:val="1D7F79EF"/>
    <w:rsid w:val="1D8712C5"/>
    <w:rsid w:val="1D93C94D"/>
    <w:rsid w:val="1DB8E77F"/>
    <w:rsid w:val="1DE43E33"/>
    <w:rsid w:val="1DE524CA"/>
    <w:rsid w:val="1DF00869"/>
    <w:rsid w:val="1DFD5D7D"/>
    <w:rsid w:val="1E0068A1"/>
    <w:rsid w:val="1E146BC0"/>
    <w:rsid w:val="1E1E3ED2"/>
    <w:rsid w:val="1E231347"/>
    <w:rsid w:val="1E2642CF"/>
    <w:rsid w:val="1E2A7DC2"/>
    <w:rsid w:val="1E46686C"/>
    <w:rsid w:val="1E54477C"/>
    <w:rsid w:val="1E594203"/>
    <w:rsid w:val="1E5B3311"/>
    <w:rsid w:val="1E5E62B7"/>
    <w:rsid w:val="1E685BCF"/>
    <w:rsid w:val="1E7A2AF8"/>
    <w:rsid w:val="1E7B6942"/>
    <w:rsid w:val="1E7B7755"/>
    <w:rsid w:val="1E7F3CA2"/>
    <w:rsid w:val="1EA45602"/>
    <w:rsid w:val="1EAC3703"/>
    <w:rsid w:val="1EBD33AF"/>
    <w:rsid w:val="1EC73863"/>
    <w:rsid w:val="1ECA6EAF"/>
    <w:rsid w:val="1EDD6B2A"/>
    <w:rsid w:val="1EE45B97"/>
    <w:rsid w:val="1EF6AA34"/>
    <w:rsid w:val="1EF96C62"/>
    <w:rsid w:val="1F045A80"/>
    <w:rsid w:val="1F1106B2"/>
    <w:rsid w:val="1F1C406A"/>
    <w:rsid w:val="1F2667DB"/>
    <w:rsid w:val="1F394761"/>
    <w:rsid w:val="1F4BA13D"/>
    <w:rsid w:val="1F550A14"/>
    <w:rsid w:val="1F6D11FD"/>
    <w:rsid w:val="1F752B76"/>
    <w:rsid w:val="1F79690E"/>
    <w:rsid w:val="1F7AD82C"/>
    <w:rsid w:val="1F7B3B4D"/>
    <w:rsid w:val="1F7FAE74"/>
    <w:rsid w:val="1F7FE225"/>
    <w:rsid w:val="1F8D2084"/>
    <w:rsid w:val="1FA40546"/>
    <w:rsid w:val="1FA73327"/>
    <w:rsid w:val="1FB90D10"/>
    <w:rsid w:val="1FBC2C9C"/>
    <w:rsid w:val="1FBE5C57"/>
    <w:rsid w:val="1FBF56C5"/>
    <w:rsid w:val="1FCD7F3A"/>
    <w:rsid w:val="1FCFB084"/>
    <w:rsid w:val="1FDFC970"/>
    <w:rsid w:val="1FEFBC33"/>
    <w:rsid w:val="1FF77DEB"/>
    <w:rsid w:val="1FFA4800"/>
    <w:rsid w:val="1FFC7219"/>
    <w:rsid w:val="1FFE3712"/>
    <w:rsid w:val="1FFEC5B1"/>
    <w:rsid w:val="1FFF15CD"/>
    <w:rsid w:val="1FFF9B26"/>
    <w:rsid w:val="2001516D"/>
    <w:rsid w:val="20076740"/>
    <w:rsid w:val="20112FE8"/>
    <w:rsid w:val="201F78B7"/>
    <w:rsid w:val="204607B7"/>
    <w:rsid w:val="204F5741"/>
    <w:rsid w:val="206D4539"/>
    <w:rsid w:val="20716543"/>
    <w:rsid w:val="2096340D"/>
    <w:rsid w:val="209C26F7"/>
    <w:rsid w:val="20A2041A"/>
    <w:rsid w:val="20AE799C"/>
    <w:rsid w:val="20C54B73"/>
    <w:rsid w:val="20CC33B3"/>
    <w:rsid w:val="20D27239"/>
    <w:rsid w:val="20D77188"/>
    <w:rsid w:val="20D817C2"/>
    <w:rsid w:val="20EB5C0D"/>
    <w:rsid w:val="20F335E5"/>
    <w:rsid w:val="20FE7095"/>
    <w:rsid w:val="211540F8"/>
    <w:rsid w:val="211A2370"/>
    <w:rsid w:val="212B5512"/>
    <w:rsid w:val="2146043D"/>
    <w:rsid w:val="214A0D59"/>
    <w:rsid w:val="215F7AB8"/>
    <w:rsid w:val="21780E44"/>
    <w:rsid w:val="217A4BBD"/>
    <w:rsid w:val="21853283"/>
    <w:rsid w:val="21AB2FC8"/>
    <w:rsid w:val="21AB49A6"/>
    <w:rsid w:val="21CA734B"/>
    <w:rsid w:val="21D270C2"/>
    <w:rsid w:val="21D45C93"/>
    <w:rsid w:val="21D5662C"/>
    <w:rsid w:val="21E32762"/>
    <w:rsid w:val="21EB1616"/>
    <w:rsid w:val="21FF530A"/>
    <w:rsid w:val="220D298D"/>
    <w:rsid w:val="222237A5"/>
    <w:rsid w:val="222541A6"/>
    <w:rsid w:val="222679CE"/>
    <w:rsid w:val="22295C18"/>
    <w:rsid w:val="22301020"/>
    <w:rsid w:val="225D173D"/>
    <w:rsid w:val="225E003A"/>
    <w:rsid w:val="227B5090"/>
    <w:rsid w:val="227C4964"/>
    <w:rsid w:val="228069B0"/>
    <w:rsid w:val="2287070F"/>
    <w:rsid w:val="2290116C"/>
    <w:rsid w:val="229879F0"/>
    <w:rsid w:val="22A4755F"/>
    <w:rsid w:val="22AF554D"/>
    <w:rsid w:val="22BD7B2C"/>
    <w:rsid w:val="232C0139"/>
    <w:rsid w:val="236D0295"/>
    <w:rsid w:val="236F6BEA"/>
    <w:rsid w:val="23734E43"/>
    <w:rsid w:val="237750EB"/>
    <w:rsid w:val="237A2980"/>
    <w:rsid w:val="237C0C0E"/>
    <w:rsid w:val="237D1CD9"/>
    <w:rsid w:val="23825FAA"/>
    <w:rsid w:val="23A16EDB"/>
    <w:rsid w:val="23A233FC"/>
    <w:rsid w:val="23C470B1"/>
    <w:rsid w:val="23C94BC5"/>
    <w:rsid w:val="23D039F6"/>
    <w:rsid w:val="23F31E37"/>
    <w:rsid w:val="240306B9"/>
    <w:rsid w:val="241308D1"/>
    <w:rsid w:val="241A61E3"/>
    <w:rsid w:val="2432352D"/>
    <w:rsid w:val="24343749"/>
    <w:rsid w:val="2438146A"/>
    <w:rsid w:val="24407B10"/>
    <w:rsid w:val="24661428"/>
    <w:rsid w:val="248833EF"/>
    <w:rsid w:val="248B0E8F"/>
    <w:rsid w:val="24AE34FB"/>
    <w:rsid w:val="24C16153"/>
    <w:rsid w:val="24C87B8F"/>
    <w:rsid w:val="24D452EA"/>
    <w:rsid w:val="24F21DB7"/>
    <w:rsid w:val="24F61ECA"/>
    <w:rsid w:val="24F73109"/>
    <w:rsid w:val="24F865EC"/>
    <w:rsid w:val="250E17B9"/>
    <w:rsid w:val="25116B15"/>
    <w:rsid w:val="251858F8"/>
    <w:rsid w:val="252436F8"/>
    <w:rsid w:val="25293AE1"/>
    <w:rsid w:val="252A2249"/>
    <w:rsid w:val="25591B6A"/>
    <w:rsid w:val="257FF667"/>
    <w:rsid w:val="25962CC6"/>
    <w:rsid w:val="259C23C5"/>
    <w:rsid w:val="25AB4ED3"/>
    <w:rsid w:val="25BD490F"/>
    <w:rsid w:val="25C446D8"/>
    <w:rsid w:val="25D850A5"/>
    <w:rsid w:val="25DF1492"/>
    <w:rsid w:val="25F820ED"/>
    <w:rsid w:val="25FF2D55"/>
    <w:rsid w:val="260D7C76"/>
    <w:rsid w:val="26127143"/>
    <w:rsid w:val="26131EB0"/>
    <w:rsid w:val="26331252"/>
    <w:rsid w:val="263A747E"/>
    <w:rsid w:val="26465DEF"/>
    <w:rsid w:val="26546F84"/>
    <w:rsid w:val="2658630B"/>
    <w:rsid w:val="26597496"/>
    <w:rsid w:val="2674607E"/>
    <w:rsid w:val="26812549"/>
    <w:rsid w:val="269C47EF"/>
    <w:rsid w:val="26B40B71"/>
    <w:rsid w:val="26B7240F"/>
    <w:rsid w:val="26CF1B59"/>
    <w:rsid w:val="26D5259F"/>
    <w:rsid w:val="26E72A87"/>
    <w:rsid w:val="26EF3AFF"/>
    <w:rsid w:val="27042A7B"/>
    <w:rsid w:val="27090F79"/>
    <w:rsid w:val="270B466D"/>
    <w:rsid w:val="27282C89"/>
    <w:rsid w:val="272950BB"/>
    <w:rsid w:val="27412045"/>
    <w:rsid w:val="275527C6"/>
    <w:rsid w:val="27702CEA"/>
    <w:rsid w:val="27A207C3"/>
    <w:rsid w:val="27AB1F74"/>
    <w:rsid w:val="27CB64FE"/>
    <w:rsid w:val="27DB6ACA"/>
    <w:rsid w:val="27DB6E1F"/>
    <w:rsid w:val="27EB2370"/>
    <w:rsid w:val="27FBA8EA"/>
    <w:rsid w:val="28085118"/>
    <w:rsid w:val="28102C38"/>
    <w:rsid w:val="28137C2E"/>
    <w:rsid w:val="28180C8B"/>
    <w:rsid w:val="281F1359"/>
    <w:rsid w:val="282D0BDB"/>
    <w:rsid w:val="282D2989"/>
    <w:rsid w:val="283B001A"/>
    <w:rsid w:val="28590F84"/>
    <w:rsid w:val="286C31BB"/>
    <w:rsid w:val="289965A3"/>
    <w:rsid w:val="28C87DBA"/>
    <w:rsid w:val="28D23530"/>
    <w:rsid w:val="28DA2E89"/>
    <w:rsid w:val="29235B3A"/>
    <w:rsid w:val="2927562A"/>
    <w:rsid w:val="292A6EC8"/>
    <w:rsid w:val="292D0766"/>
    <w:rsid w:val="29312751"/>
    <w:rsid w:val="29445FAA"/>
    <w:rsid w:val="29483DB1"/>
    <w:rsid w:val="294E19D3"/>
    <w:rsid w:val="295712CA"/>
    <w:rsid w:val="296A082C"/>
    <w:rsid w:val="296A2F05"/>
    <w:rsid w:val="298A5E14"/>
    <w:rsid w:val="299109D5"/>
    <w:rsid w:val="29C57D15"/>
    <w:rsid w:val="29D17FC7"/>
    <w:rsid w:val="29D37461"/>
    <w:rsid w:val="29DB6414"/>
    <w:rsid w:val="29EF8CED"/>
    <w:rsid w:val="29F5689D"/>
    <w:rsid w:val="29FB35D9"/>
    <w:rsid w:val="29FFE13E"/>
    <w:rsid w:val="2A0562BB"/>
    <w:rsid w:val="2A167548"/>
    <w:rsid w:val="2A4254F9"/>
    <w:rsid w:val="2A475133"/>
    <w:rsid w:val="2A573CED"/>
    <w:rsid w:val="2A5749FC"/>
    <w:rsid w:val="2A6226DE"/>
    <w:rsid w:val="2A693214"/>
    <w:rsid w:val="2A6D4DAB"/>
    <w:rsid w:val="2A7322D4"/>
    <w:rsid w:val="2A781EB5"/>
    <w:rsid w:val="2A85771B"/>
    <w:rsid w:val="2A8D4D62"/>
    <w:rsid w:val="2A9430F3"/>
    <w:rsid w:val="2A94679F"/>
    <w:rsid w:val="2A984C68"/>
    <w:rsid w:val="2AB92F77"/>
    <w:rsid w:val="2ABD5260"/>
    <w:rsid w:val="2ABF3775"/>
    <w:rsid w:val="2ACD3FAF"/>
    <w:rsid w:val="2AD349DA"/>
    <w:rsid w:val="2AFF55BD"/>
    <w:rsid w:val="2B0100FD"/>
    <w:rsid w:val="2B06451A"/>
    <w:rsid w:val="2B14441F"/>
    <w:rsid w:val="2B1D65E4"/>
    <w:rsid w:val="2B215317"/>
    <w:rsid w:val="2B3260A5"/>
    <w:rsid w:val="2B5102D7"/>
    <w:rsid w:val="2B524B53"/>
    <w:rsid w:val="2B946D50"/>
    <w:rsid w:val="2BA411B4"/>
    <w:rsid w:val="2BAE521D"/>
    <w:rsid w:val="2BB16143"/>
    <w:rsid w:val="2BB477B3"/>
    <w:rsid w:val="2BBF3530"/>
    <w:rsid w:val="2BC047D3"/>
    <w:rsid w:val="2BCA00DD"/>
    <w:rsid w:val="2BE24ACD"/>
    <w:rsid w:val="2BE41BEA"/>
    <w:rsid w:val="2BF1590D"/>
    <w:rsid w:val="2C3670BD"/>
    <w:rsid w:val="2C3B13EC"/>
    <w:rsid w:val="2C4E1120"/>
    <w:rsid w:val="2C510C88"/>
    <w:rsid w:val="2C5727D8"/>
    <w:rsid w:val="2C5F50DB"/>
    <w:rsid w:val="2C7E6B2D"/>
    <w:rsid w:val="2C7FBAB6"/>
    <w:rsid w:val="2C91738A"/>
    <w:rsid w:val="2CAB6724"/>
    <w:rsid w:val="2CD40D35"/>
    <w:rsid w:val="2CE51A84"/>
    <w:rsid w:val="2CEE531B"/>
    <w:rsid w:val="2CFF03AC"/>
    <w:rsid w:val="2D047A30"/>
    <w:rsid w:val="2D1024F6"/>
    <w:rsid w:val="2D1C2001"/>
    <w:rsid w:val="2D1F32F4"/>
    <w:rsid w:val="2D2C76B3"/>
    <w:rsid w:val="2D2E5A1D"/>
    <w:rsid w:val="2D3F559A"/>
    <w:rsid w:val="2D455D2B"/>
    <w:rsid w:val="2D5F7266"/>
    <w:rsid w:val="2D691B92"/>
    <w:rsid w:val="2D6A1F89"/>
    <w:rsid w:val="2D764C45"/>
    <w:rsid w:val="2DA8534F"/>
    <w:rsid w:val="2DB571FF"/>
    <w:rsid w:val="2DD34109"/>
    <w:rsid w:val="2DDE3214"/>
    <w:rsid w:val="2E004083"/>
    <w:rsid w:val="2E1A7E81"/>
    <w:rsid w:val="2E33681F"/>
    <w:rsid w:val="2E3A5DFF"/>
    <w:rsid w:val="2E642C67"/>
    <w:rsid w:val="2E6B52F2"/>
    <w:rsid w:val="2E6B6090"/>
    <w:rsid w:val="2E76495E"/>
    <w:rsid w:val="2E9A4AF0"/>
    <w:rsid w:val="2EA27501"/>
    <w:rsid w:val="2EBB5F58"/>
    <w:rsid w:val="2EF20488"/>
    <w:rsid w:val="2EFD7286"/>
    <w:rsid w:val="2F205E18"/>
    <w:rsid w:val="2F2701B6"/>
    <w:rsid w:val="2F310CDD"/>
    <w:rsid w:val="2F330090"/>
    <w:rsid w:val="2F336330"/>
    <w:rsid w:val="2F336759"/>
    <w:rsid w:val="2F3E547B"/>
    <w:rsid w:val="2F4C3A59"/>
    <w:rsid w:val="2F513511"/>
    <w:rsid w:val="2F61116A"/>
    <w:rsid w:val="2F612C35"/>
    <w:rsid w:val="2F653168"/>
    <w:rsid w:val="2F6F5A66"/>
    <w:rsid w:val="2F7D19D4"/>
    <w:rsid w:val="2F7E0FC5"/>
    <w:rsid w:val="2F7F5051"/>
    <w:rsid w:val="2F875C16"/>
    <w:rsid w:val="2F891D2D"/>
    <w:rsid w:val="2F903B78"/>
    <w:rsid w:val="2FA05EF0"/>
    <w:rsid w:val="2FAFFD34"/>
    <w:rsid w:val="2FB361F0"/>
    <w:rsid w:val="2FB92D54"/>
    <w:rsid w:val="2FC46472"/>
    <w:rsid w:val="2FCFE2DC"/>
    <w:rsid w:val="2FD302BA"/>
    <w:rsid w:val="2FE1DC78"/>
    <w:rsid w:val="2FF38EF8"/>
    <w:rsid w:val="2FF6427E"/>
    <w:rsid w:val="2FF86F0B"/>
    <w:rsid w:val="2FFA3A98"/>
    <w:rsid w:val="2FFD0CDC"/>
    <w:rsid w:val="2FFD3D1A"/>
    <w:rsid w:val="2FFEA3FF"/>
    <w:rsid w:val="2FFF838B"/>
    <w:rsid w:val="3011493E"/>
    <w:rsid w:val="30161F54"/>
    <w:rsid w:val="30180224"/>
    <w:rsid w:val="3038319F"/>
    <w:rsid w:val="306B04F2"/>
    <w:rsid w:val="30705B08"/>
    <w:rsid w:val="3072261D"/>
    <w:rsid w:val="30764EE5"/>
    <w:rsid w:val="30772F4F"/>
    <w:rsid w:val="307D4ABA"/>
    <w:rsid w:val="30901D07"/>
    <w:rsid w:val="30CC51AF"/>
    <w:rsid w:val="30E3452C"/>
    <w:rsid w:val="30F537B2"/>
    <w:rsid w:val="30F66FB5"/>
    <w:rsid w:val="30F85AFE"/>
    <w:rsid w:val="30FB2705"/>
    <w:rsid w:val="310C75A3"/>
    <w:rsid w:val="310D6A5F"/>
    <w:rsid w:val="310F0CD5"/>
    <w:rsid w:val="311A2ECF"/>
    <w:rsid w:val="311A3CC6"/>
    <w:rsid w:val="31224929"/>
    <w:rsid w:val="312547D2"/>
    <w:rsid w:val="31283EF1"/>
    <w:rsid w:val="312D0BBA"/>
    <w:rsid w:val="3143321D"/>
    <w:rsid w:val="317E0A37"/>
    <w:rsid w:val="31853836"/>
    <w:rsid w:val="3199427B"/>
    <w:rsid w:val="31A65CB0"/>
    <w:rsid w:val="31AB4682"/>
    <w:rsid w:val="31AD0F91"/>
    <w:rsid w:val="31AF18A3"/>
    <w:rsid w:val="31BB70F6"/>
    <w:rsid w:val="31BD4E40"/>
    <w:rsid w:val="31C31C39"/>
    <w:rsid w:val="31E7649D"/>
    <w:rsid w:val="32090A42"/>
    <w:rsid w:val="321D0FF6"/>
    <w:rsid w:val="322437FA"/>
    <w:rsid w:val="3239395E"/>
    <w:rsid w:val="323B4D81"/>
    <w:rsid w:val="32423ED4"/>
    <w:rsid w:val="32662434"/>
    <w:rsid w:val="326B7D35"/>
    <w:rsid w:val="327318E0"/>
    <w:rsid w:val="32851613"/>
    <w:rsid w:val="329469DE"/>
    <w:rsid w:val="32964404"/>
    <w:rsid w:val="32A67293"/>
    <w:rsid w:val="32B205D0"/>
    <w:rsid w:val="32BA64A9"/>
    <w:rsid w:val="32CB3961"/>
    <w:rsid w:val="32EC51EE"/>
    <w:rsid w:val="32EE540A"/>
    <w:rsid w:val="331A1D5C"/>
    <w:rsid w:val="3337290D"/>
    <w:rsid w:val="334331E6"/>
    <w:rsid w:val="33435756"/>
    <w:rsid w:val="335364DF"/>
    <w:rsid w:val="335F00B6"/>
    <w:rsid w:val="336074D2"/>
    <w:rsid w:val="336A7926"/>
    <w:rsid w:val="336F1BEF"/>
    <w:rsid w:val="337C47C4"/>
    <w:rsid w:val="33864767"/>
    <w:rsid w:val="339715FE"/>
    <w:rsid w:val="33B7C077"/>
    <w:rsid w:val="33BE34B0"/>
    <w:rsid w:val="33C063FA"/>
    <w:rsid w:val="33DF6314"/>
    <w:rsid w:val="33E03D45"/>
    <w:rsid w:val="33EE0FC0"/>
    <w:rsid w:val="33F72012"/>
    <w:rsid w:val="33FF2DC1"/>
    <w:rsid w:val="3405369F"/>
    <w:rsid w:val="3419350A"/>
    <w:rsid w:val="34295FA7"/>
    <w:rsid w:val="344572AC"/>
    <w:rsid w:val="34644A64"/>
    <w:rsid w:val="34655258"/>
    <w:rsid w:val="34747302"/>
    <w:rsid w:val="347A1F14"/>
    <w:rsid w:val="348222AE"/>
    <w:rsid w:val="34890D8D"/>
    <w:rsid w:val="349C7FBE"/>
    <w:rsid w:val="34B70380"/>
    <w:rsid w:val="34C37D49"/>
    <w:rsid w:val="34CA1631"/>
    <w:rsid w:val="34DC18B6"/>
    <w:rsid w:val="34F00345"/>
    <w:rsid w:val="34F65B4C"/>
    <w:rsid w:val="35034DC6"/>
    <w:rsid w:val="350E272F"/>
    <w:rsid w:val="35150A2C"/>
    <w:rsid w:val="351C1BED"/>
    <w:rsid w:val="35226315"/>
    <w:rsid w:val="35231BAF"/>
    <w:rsid w:val="35386276"/>
    <w:rsid w:val="354457B6"/>
    <w:rsid w:val="35480AC5"/>
    <w:rsid w:val="354D0B11"/>
    <w:rsid w:val="354F0E7C"/>
    <w:rsid w:val="35661288"/>
    <w:rsid w:val="356D3D6B"/>
    <w:rsid w:val="357A3217"/>
    <w:rsid w:val="357E2A76"/>
    <w:rsid w:val="35970F9D"/>
    <w:rsid w:val="359C12DD"/>
    <w:rsid w:val="35A13420"/>
    <w:rsid w:val="35B9552F"/>
    <w:rsid w:val="35BAC1E8"/>
    <w:rsid w:val="35C9FFE1"/>
    <w:rsid w:val="35D6415D"/>
    <w:rsid w:val="35DC779C"/>
    <w:rsid w:val="35E277B6"/>
    <w:rsid w:val="35E34252"/>
    <w:rsid w:val="35EF728C"/>
    <w:rsid w:val="35F8FE9C"/>
    <w:rsid w:val="35FD515C"/>
    <w:rsid w:val="35FE769C"/>
    <w:rsid w:val="35FF7FAA"/>
    <w:rsid w:val="361718E7"/>
    <w:rsid w:val="361B7E26"/>
    <w:rsid w:val="363A6018"/>
    <w:rsid w:val="36462E68"/>
    <w:rsid w:val="364A57BB"/>
    <w:rsid w:val="366E687E"/>
    <w:rsid w:val="367B6FB5"/>
    <w:rsid w:val="367E3F16"/>
    <w:rsid w:val="368D5E78"/>
    <w:rsid w:val="36982E0F"/>
    <w:rsid w:val="36AF250E"/>
    <w:rsid w:val="36DD024C"/>
    <w:rsid w:val="36E3092A"/>
    <w:rsid w:val="36F56D67"/>
    <w:rsid w:val="370D1785"/>
    <w:rsid w:val="37134760"/>
    <w:rsid w:val="3723031A"/>
    <w:rsid w:val="3724546A"/>
    <w:rsid w:val="37252DC4"/>
    <w:rsid w:val="373845F0"/>
    <w:rsid w:val="37464BAC"/>
    <w:rsid w:val="37487677"/>
    <w:rsid w:val="376712E7"/>
    <w:rsid w:val="377F9B8E"/>
    <w:rsid w:val="37A675A8"/>
    <w:rsid w:val="37AE00E9"/>
    <w:rsid w:val="37BF34EF"/>
    <w:rsid w:val="37DB3EFE"/>
    <w:rsid w:val="37EDDD76"/>
    <w:rsid w:val="37EE59AC"/>
    <w:rsid w:val="37F720F2"/>
    <w:rsid w:val="37F7E544"/>
    <w:rsid w:val="37F9C950"/>
    <w:rsid w:val="37FB524E"/>
    <w:rsid w:val="37FD6BF3"/>
    <w:rsid w:val="37FDDBCE"/>
    <w:rsid w:val="37FF4DD1"/>
    <w:rsid w:val="37FF4FFB"/>
    <w:rsid w:val="380246A2"/>
    <w:rsid w:val="38051AB4"/>
    <w:rsid w:val="38267060"/>
    <w:rsid w:val="38284D0C"/>
    <w:rsid w:val="38317092"/>
    <w:rsid w:val="38385E72"/>
    <w:rsid w:val="384B2109"/>
    <w:rsid w:val="38625A5D"/>
    <w:rsid w:val="387E5A64"/>
    <w:rsid w:val="388760E5"/>
    <w:rsid w:val="389F4929"/>
    <w:rsid w:val="38A731BC"/>
    <w:rsid w:val="38AB4B5A"/>
    <w:rsid w:val="38BD2545"/>
    <w:rsid w:val="38DE55D9"/>
    <w:rsid w:val="38E06094"/>
    <w:rsid w:val="38E6185D"/>
    <w:rsid w:val="39013431"/>
    <w:rsid w:val="390363FE"/>
    <w:rsid w:val="39290F4A"/>
    <w:rsid w:val="39340415"/>
    <w:rsid w:val="39972358"/>
    <w:rsid w:val="39BC3442"/>
    <w:rsid w:val="39BE2D0E"/>
    <w:rsid w:val="39DA0497"/>
    <w:rsid w:val="39FFDC4C"/>
    <w:rsid w:val="3A3D1514"/>
    <w:rsid w:val="3A511B22"/>
    <w:rsid w:val="3A5D305A"/>
    <w:rsid w:val="3A6E3D80"/>
    <w:rsid w:val="3A766411"/>
    <w:rsid w:val="3A7A4D70"/>
    <w:rsid w:val="3A847DCF"/>
    <w:rsid w:val="3AA8354C"/>
    <w:rsid w:val="3ACE417B"/>
    <w:rsid w:val="3AD46809"/>
    <w:rsid w:val="3AE174A3"/>
    <w:rsid w:val="3AE236F2"/>
    <w:rsid w:val="3AE425CD"/>
    <w:rsid w:val="3AF7201C"/>
    <w:rsid w:val="3AFE368C"/>
    <w:rsid w:val="3B0B6E7C"/>
    <w:rsid w:val="3B174082"/>
    <w:rsid w:val="3B5830E9"/>
    <w:rsid w:val="3B774CDD"/>
    <w:rsid w:val="3B7BCA6C"/>
    <w:rsid w:val="3B7D85A8"/>
    <w:rsid w:val="3B87609D"/>
    <w:rsid w:val="3B8A08C7"/>
    <w:rsid w:val="3B9609A4"/>
    <w:rsid w:val="3B98D948"/>
    <w:rsid w:val="3B9F3746"/>
    <w:rsid w:val="3BA00407"/>
    <w:rsid w:val="3BA91405"/>
    <w:rsid w:val="3BAA7FC9"/>
    <w:rsid w:val="3BB09D96"/>
    <w:rsid w:val="3BB99C6D"/>
    <w:rsid w:val="3BD4700F"/>
    <w:rsid w:val="3BD70427"/>
    <w:rsid w:val="3BDFB438"/>
    <w:rsid w:val="3BEA5F41"/>
    <w:rsid w:val="3BEFC551"/>
    <w:rsid w:val="3BF02E60"/>
    <w:rsid w:val="3BFA53CB"/>
    <w:rsid w:val="3BFE5F7C"/>
    <w:rsid w:val="3BFF13DC"/>
    <w:rsid w:val="3C0A2B26"/>
    <w:rsid w:val="3C1BB09A"/>
    <w:rsid w:val="3C1F12C3"/>
    <w:rsid w:val="3C2BD24A"/>
    <w:rsid w:val="3C301BB0"/>
    <w:rsid w:val="3C317A73"/>
    <w:rsid w:val="3C3814A4"/>
    <w:rsid w:val="3C65081D"/>
    <w:rsid w:val="3C77B7C2"/>
    <w:rsid w:val="3C7F2D33"/>
    <w:rsid w:val="3C8F0A52"/>
    <w:rsid w:val="3C8F1B85"/>
    <w:rsid w:val="3CA01523"/>
    <w:rsid w:val="3CA72347"/>
    <w:rsid w:val="3CBB333D"/>
    <w:rsid w:val="3CE3DB58"/>
    <w:rsid w:val="3CE96AC6"/>
    <w:rsid w:val="3CEF6007"/>
    <w:rsid w:val="3CF7F7E9"/>
    <w:rsid w:val="3CF8256F"/>
    <w:rsid w:val="3CFFFFEE"/>
    <w:rsid w:val="3D0B3A06"/>
    <w:rsid w:val="3D145E0F"/>
    <w:rsid w:val="3D262204"/>
    <w:rsid w:val="3D2BEE1D"/>
    <w:rsid w:val="3D406F29"/>
    <w:rsid w:val="3D496AC2"/>
    <w:rsid w:val="3D4B3C34"/>
    <w:rsid w:val="3D4B707C"/>
    <w:rsid w:val="3D4B898A"/>
    <w:rsid w:val="3D692FD6"/>
    <w:rsid w:val="3D6AA009"/>
    <w:rsid w:val="3D6F7F8F"/>
    <w:rsid w:val="3D7B8CA9"/>
    <w:rsid w:val="3D7F80E6"/>
    <w:rsid w:val="3D7F8154"/>
    <w:rsid w:val="3D803250"/>
    <w:rsid w:val="3D8449A1"/>
    <w:rsid w:val="3DA4543B"/>
    <w:rsid w:val="3DAD9951"/>
    <w:rsid w:val="3DB422B2"/>
    <w:rsid w:val="3DBD9760"/>
    <w:rsid w:val="3DC46E6A"/>
    <w:rsid w:val="3DC713D4"/>
    <w:rsid w:val="3DE03D27"/>
    <w:rsid w:val="3DEB56A7"/>
    <w:rsid w:val="3DEE1A66"/>
    <w:rsid w:val="3DF57134"/>
    <w:rsid w:val="3DFD4754"/>
    <w:rsid w:val="3DFE84AD"/>
    <w:rsid w:val="3E1871BF"/>
    <w:rsid w:val="3E2717D1"/>
    <w:rsid w:val="3E295549"/>
    <w:rsid w:val="3E2FAB70"/>
    <w:rsid w:val="3E370B82"/>
    <w:rsid w:val="3E442382"/>
    <w:rsid w:val="3EA267BC"/>
    <w:rsid w:val="3EB70B33"/>
    <w:rsid w:val="3EDB7DB3"/>
    <w:rsid w:val="3EE7611C"/>
    <w:rsid w:val="3EFB25D6"/>
    <w:rsid w:val="3EFF9209"/>
    <w:rsid w:val="3EFFD3D8"/>
    <w:rsid w:val="3F0A7128"/>
    <w:rsid w:val="3F285D8B"/>
    <w:rsid w:val="3F28BE93"/>
    <w:rsid w:val="3F3B34B8"/>
    <w:rsid w:val="3F3D07ED"/>
    <w:rsid w:val="3F3DD1F1"/>
    <w:rsid w:val="3F443D18"/>
    <w:rsid w:val="3F4FA000"/>
    <w:rsid w:val="3F57E6AE"/>
    <w:rsid w:val="3F676329"/>
    <w:rsid w:val="3F6B219D"/>
    <w:rsid w:val="3F6F5032"/>
    <w:rsid w:val="3F7A369B"/>
    <w:rsid w:val="3F7B2F8B"/>
    <w:rsid w:val="3F7EAEE0"/>
    <w:rsid w:val="3F865609"/>
    <w:rsid w:val="3F8C36E0"/>
    <w:rsid w:val="3F8E8232"/>
    <w:rsid w:val="3F9D7F9C"/>
    <w:rsid w:val="3F9F3DC8"/>
    <w:rsid w:val="3F9F56F5"/>
    <w:rsid w:val="3FAE0AD6"/>
    <w:rsid w:val="3FB726AA"/>
    <w:rsid w:val="3FBBB72A"/>
    <w:rsid w:val="3FBD4D96"/>
    <w:rsid w:val="3FBE34EE"/>
    <w:rsid w:val="3FBF16B1"/>
    <w:rsid w:val="3FBF9AE8"/>
    <w:rsid w:val="3FCB4DD9"/>
    <w:rsid w:val="3FCB8380"/>
    <w:rsid w:val="3FCF203E"/>
    <w:rsid w:val="3FCF3273"/>
    <w:rsid w:val="3FCF9093"/>
    <w:rsid w:val="3FD120A8"/>
    <w:rsid w:val="3FDD15FE"/>
    <w:rsid w:val="3FDD579A"/>
    <w:rsid w:val="3FDF02FD"/>
    <w:rsid w:val="3FDF6D34"/>
    <w:rsid w:val="3FDF7298"/>
    <w:rsid w:val="3FEF7B66"/>
    <w:rsid w:val="3FF28E19"/>
    <w:rsid w:val="3FF40503"/>
    <w:rsid w:val="3FFE2B5B"/>
    <w:rsid w:val="3FFF637D"/>
    <w:rsid w:val="3FFF7109"/>
    <w:rsid w:val="3FFF921E"/>
    <w:rsid w:val="400C6ED0"/>
    <w:rsid w:val="40151045"/>
    <w:rsid w:val="402661E4"/>
    <w:rsid w:val="404C4A95"/>
    <w:rsid w:val="40580BC7"/>
    <w:rsid w:val="40724455"/>
    <w:rsid w:val="40A40D73"/>
    <w:rsid w:val="40D92C20"/>
    <w:rsid w:val="40E37C31"/>
    <w:rsid w:val="40E65973"/>
    <w:rsid w:val="40F93388"/>
    <w:rsid w:val="40FB2EE6"/>
    <w:rsid w:val="41297B0B"/>
    <w:rsid w:val="41303FC5"/>
    <w:rsid w:val="41390199"/>
    <w:rsid w:val="413B4D26"/>
    <w:rsid w:val="414B007D"/>
    <w:rsid w:val="41602328"/>
    <w:rsid w:val="41732330"/>
    <w:rsid w:val="417F0B3D"/>
    <w:rsid w:val="4182744A"/>
    <w:rsid w:val="419B49AF"/>
    <w:rsid w:val="41A17FF0"/>
    <w:rsid w:val="41A76B70"/>
    <w:rsid w:val="41BE0921"/>
    <w:rsid w:val="41C326D5"/>
    <w:rsid w:val="41C754A0"/>
    <w:rsid w:val="41CA1741"/>
    <w:rsid w:val="41EA5EAB"/>
    <w:rsid w:val="41F44E89"/>
    <w:rsid w:val="42185F57"/>
    <w:rsid w:val="42295EB2"/>
    <w:rsid w:val="42420314"/>
    <w:rsid w:val="425237E8"/>
    <w:rsid w:val="42664401"/>
    <w:rsid w:val="429328D7"/>
    <w:rsid w:val="42A33F0B"/>
    <w:rsid w:val="42C2450E"/>
    <w:rsid w:val="42C817D4"/>
    <w:rsid w:val="42CD6DEA"/>
    <w:rsid w:val="42D12D91"/>
    <w:rsid w:val="42E70446"/>
    <w:rsid w:val="42F2197A"/>
    <w:rsid w:val="42F6065F"/>
    <w:rsid w:val="430576D4"/>
    <w:rsid w:val="4322104C"/>
    <w:rsid w:val="432471FC"/>
    <w:rsid w:val="433153D0"/>
    <w:rsid w:val="433C3993"/>
    <w:rsid w:val="43446334"/>
    <w:rsid w:val="435968D0"/>
    <w:rsid w:val="436863A0"/>
    <w:rsid w:val="43736048"/>
    <w:rsid w:val="437B6009"/>
    <w:rsid w:val="43825A21"/>
    <w:rsid w:val="438A4C93"/>
    <w:rsid w:val="43956A53"/>
    <w:rsid w:val="43977E2D"/>
    <w:rsid w:val="43AD15DB"/>
    <w:rsid w:val="43ED6A68"/>
    <w:rsid w:val="43F62371"/>
    <w:rsid w:val="440D7B75"/>
    <w:rsid w:val="44166243"/>
    <w:rsid w:val="441C79DD"/>
    <w:rsid w:val="44406BF4"/>
    <w:rsid w:val="44407C5D"/>
    <w:rsid w:val="444906F3"/>
    <w:rsid w:val="445F7F16"/>
    <w:rsid w:val="44616288"/>
    <w:rsid w:val="447119F7"/>
    <w:rsid w:val="447561B8"/>
    <w:rsid w:val="44890AEF"/>
    <w:rsid w:val="448C7DD1"/>
    <w:rsid w:val="44A84E71"/>
    <w:rsid w:val="44B54333"/>
    <w:rsid w:val="44C95EA8"/>
    <w:rsid w:val="44E34A44"/>
    <w:rsid w:val="44F87590"/>
    <w:rsid w:val="450262D6"/>
    <w:rsid w:val="450667D5"/>
    <w:rsid w:val="452F3649"/>
    <w:rsid w:val="453E4987"/>
    <w:rsid w:val="454A2974"/>
    <w:rsid w:val="4550360E"/>
    <w:rsid w:val="45590A92"/>
    <w:rsid w:val="45624699"/>
    <w:rsid w:val="45627238"/>
    <w:rsid w:val="456C46BD"/>
    <w:rsid w:val="458738EE"/>
    <w:rsid w:val="459274DB"/>
    <w:rsid w:val="45B5664E"/>
    <w:rsid w:val="45C641DB"/>
    <w:rsid w:val="45D37CDF"/>
    <w:rsid w:val="45EDD0C2"/>
    <w:rsid w:val="46164ECF"/>
    <w:rsid w:val="46167353"/>
    <w:rsid w:val="46195EA3"/>
    <w:rsid w:val="4637312C"/>
    <w:rsid w:val="4662410F"/>
    <w:rsid w:val="46755425"/>
    <w:rsid w:val="46811A38"/>
    <w:rsid w:val="46E0321C"/>
    <w:rsid w:val="46E157FA"/>
    <w:rsid w:val="46F32B98"/>
    <w:rsid w:val="46F76BD8"/>
    <w:rsid w:val="46FD0F0C"/>
    <w:rsid w:val="471274C2"/>
    <w:rsid w:val="472641A4"/>
    <w:rsid w:val="4733189B"/>
    <w:rsid w:val="474433F3"/>
    <w:rsid w:val="477DCE1E"/>
    <w:rsid w:val="47BDFDC6"/>
    <w:rsid w:val="47C349C6"/>
    <w:rsid w:val="47C96F85"/>
    <w:rsid w:val="47CA7D9C"/>
    <w:rsid w:val="47CB333B"/>
    <w:rsid w:val="47E36788"/>
    <w:rsid w:val="47EB4ECB"/>
    <w:rsid w:val="47EF56F4"/>
    <w:rsid w:val="47F021D1"/>
    <w:rsid w:val="47F256A7"/>
    <w:rsid w:val="47F71A1A"/>
    <w:rsid w:val="47FC5AD6"/>
    <w:rsid w:val="480F1C53"/>
    <w:rsid w:val="48180B08"/>
    <w:rsid w:val="48293E1E"/>
    <w:rsid w:val="48457423"/>
    <w:rsid w:val="48593BBF"/>
    <w:rsid w:val="486317FC"/>
    <w:rsid w:val="486FD2F0"/>
    <w:rsid w:val="48897310"/>
    <w:rsid w:val="488A3D16"/>
    <w:rsid w:val="48973C87"/>
    <w:rsid w:val="48A40AE5"/>
    <w:rsid w:val="48AD2FC4"/>
    <w:rsid w:val="48B30830"/>
    <w:rsid w:val="48DF0850"/>
    <w:rsid w:val="48E94252"/>
    <w:rsid w:val="48ED3397"/>
    <w:rsid w:val="48F20EDA"/>
    <w:rsid w:val="48F84495"/>
    <w:rsid w:val="49091A49"/>
    <w:rsid w:val="491A08B0"/>
    <w:rsid w:val="493A4AAE"/>
    <w:rsid w:val="49553696"/>
    <w:rsid w:val="495633FD"/>
    <w:rsid w:val="496B0C52"/>
    <w:rsid w:val="496E4757"/>
    <w:rsid w:val="498F0B0F"/>
    <w:rsid w:val="49C16F7D"/>
    <w:rsid w:val="49C46C7E"/>
    <w:rsid w:val="49D95FDE"/>
    <w:rsid w:val="49FF5946"/>
    <w:rsid w:val="49FFE38D"/>
    <w:rsid w:val="4A0A26D2"/>
    <w:rsid w:val="4A0E7992"/>
    <w:rsid w:val="4A161077"/>
    <w:rsid w:val="4A167771"/>
    <w:rsid w:val="4A260D08"/>
    <w:rsid w:val="4A313A26"/>
    <w:rsid w:val="4A5C4B6A"/>
    <w:rsid w:val="4A960D9F"/>
    <w:rsid w:val="4A9D109F"/>
    <w:rsid w:val="4AA26FEA"/>
    <w:rsid w:val="4AAE5EE0"/>
    <w:rsid w:val="4AB13FA2"/>
    <w:rsid w:val="4AC2626D"/>
    <w:rsid w:val="4ADA6658"/>
    <w:rsid w:val="4AE40A60"/>
    <w:rsid w:val="4AFAE45B"/>
    <w:rsid w:val="4AFEDCDB"/>
    <w:rsid w:val="4B0814FE"/>
    <w:rsid w:val="4B0C42BC"/>
    <w:rsid w:val="4B0E61F2"/>
    <w:rsid w:val="4B324A81"/>
    <w:rsid w:val="4B3B64EC"/>
    <w:rsid w:val="4B450EB9"/>
    <w:rsid w:val="4B787CF1"/>
    <w:rsid w:val="4B7C7D7E"/>
    <w:rsid w:val="4B7FB683"/>
    <w:rsid w:val="4B9B0D47"/>
    <w:rsid w:val="4BBA0128"/>
    <w:rsid w:val="4BBE2662"/>
    <w:rsid w:val="4BC87DB1"/>
    <w:rsid w:val="4BDE5BC4"/>
    <w:rsid w:val="4BF24B1A"/>
    <w:rsid w:val="4BFF2664"/>
    <w:rsid w:val="4C1C36D7"/>
    <w:rsid w:val="4C51283A"/>
    <w:rsid w:val="4C561334"/>
    <w:rsid w:val="4C562321"/>
    <w:rsid w:val="4C5C3066"/>
    <w:rsid w:val="4C806C7C"/>
    <w:rsid w:val="4C810C62"/>
    <w:rsid w:val="4C820C46"/>
    <w:rsid w:val="4C891FD4"/>
    <w:rsid w:val="4C983FC5"/>
    <w:rsid w:val="4C9856FF"/>
    <w:rsid w:val="4CA76B54"/>
    <w:rsid w:val="4CAF695B"/>
    <w:rsid w:val="4CBD4769"/>
    <w:rsid w:val="4CD47ACD"/>
    <w:rsid w:val="4CD59E68"/>
    <w:rsid w:val="4CD67360"/>
    <w:rsid w:val="4CE92A73"/>
    <w:rsid w:val="4CF22964"/>
    <w:rsid w:val="4CF8081A"/>
    <w:rsid w:val="4D00669A"/>
    <w:rsid w:val="4D034F35"/>
    <w:rsid w:val="4D1216FF"/>
    <w:rsid w:val="4D2F4CF1"/>
    <w:rsid w:val="4D3A1520"/>
    <w:rsid w:val="4D485A99"/>
    <w:rsid w:val="4D555F59"/>
    <w:rsid w:val="4D594628"/>
    <w:rsid w:val="4D7439F3"/>
    <w:rsid w:val="4D88670C"/>
    <w:rsid w:val="4D8E53C8"/>
    <w:rsid w:val="4DAA460C"/>
    <w:rsid w:val="4DAC584E"/>
    <w:rsid w:val="4DAD0E02"/>
    <w:rsid w:val="4DB92B63"/>
    <w:rsid w:val="4DC376C2"/>
    <w:rsid w:val="4DD64529"/>
    <w:rsid w:val="4DDF391B"/>
    <w:rsid w:val="4DE017A3"/>
    <w:rsid w:val="4DE02688"/>
    <w:rsid w:val="4DE46C7A"/>
    <w:rsid w:val="4DE6234A"/>
    <w:rsid w:val="4DEA98EA"/>
    <w:rsid w:val="4DF81258"/>
    <w:rsid w:val="4DFE42FC"/>
    <w:rsid w:val="4DFFD546"/>
    <w:rsid w:val="4E315F0D"/>
    <w:rsid w:val="4E610774"/>
    <w:rsid w:val="4E7D4DD8"/>
    <w:rsid w:val="4E920EE8"/>
    <w:rsid w:val="4EA60CB6"/>
    <w:rsid w:val="4EB6029F"/>
    <w:rsid w:val="4EC119BA"/>
    <w:rsid w:val="4EC6446B"/>
    <w:rsid w:val="4EF760F7"/>
    <w:rsid w:val="4F106DA0"/>
    <w:rsid w:val="4F195165"/>
    <w:rsid w:val="4F202207"/>
    <w:rsid w:val="4F317C2C"/>
    <w:rsid w:val="4F3FB6DF"/>
    <w:rsid w:val="4F565FF7"/>
    <w:rsid w:val="4F5B8567"/>
    <w:rsid w:val="4F7D3B1A"/>
    <w:rsid w:val="4F7FD12D"/>
    <w:rsid w:val="4F83044B"/>
    <w:rsid w:val="4F8E3AB7"/>
    <w:rsid w:val="4F8FB72D"/>
    <w:rsid w:val="4F910024"/>
    <w:rsid w:val="4F9FFE86"/>
    <w:rsid w:val="4FA32CE3"/>
    <w:rsid w:val="4FBA65B8"/>
    <w:rsid w:val="4FBD3D43"/>
    <w:rsid w:val="4FDFF516"/>
    <w:rsid w:val="4FE0121F"/>
    <w:rsid w:val="4FE02961"/>
    <w:rsid w:val="4FEB2ED5"/>
    <w:rsid w:val="4FF5172F"/>
    <w:rsid w:val="4FFB41A7"/>
    <w:rsid w:val="4FFC0D0F"/>
    <w:rsid w:val="503316BF"/>
    <w:rsid w:val="50351342"/>
    <w:rsid w:val="504C1C59"/>
    <w:rsid w:val="5052630D"/>
    <w:rsid w:val="50663D23"/>
    <w:rsid w:val="50680152"/>
    <w:rsid w:val="50724B2D"/>
    <w:rsid w:val="508C52D1"/>
    <w:rsid w:val="5092650C"/>
    <w:rsid w:val="50963E85"/>
    <w:rsid w:val="50AF7B2F"/>
    <w:rsid w:val="50D754F2"/>
    <w:rsid w:val="50E3458D"/>
    <w:rsid w:val="513C0E2B"/>
    <w:rsid w:val="513F5283"/>
    <w:rsid w:val="51501312"/>
    <w:rsid w:val="51516E38"/>
    <w:rsid w:val="515C406F"/>
    <w:rsid w:val="516528E4"/>
    <w:rsid w:val="51710D24"/>
    <w:rsid w:val="5176383A"/>
    <w:rsid w:val="5181369F"/>
    <w:rsid w:val="51925198"/>
    <w:rsid w:val="51940032"/>
    <w:rsid w:val="51B51175"/>
    <w:rsid w:val="51E06B66"/>
    <w:rsid w:val="51E56D7F"/>
    <w:rsid w:val="51E60876"/>
    <w:rsid w:val="51F333B6"/>
    <w:rsid w:val="520B5239"/>
    <w:rsid w:val="52106D32"/>
    <w:rsid w:val="5216678E"/>
    <w:rsid w:val="52304CA0"/>
    <w:rsid w:val="52422F16"/>
    <w:rsid w:val="525063D4"/>
    <w:rsid w:val="52767759"/>
    <w:rsid w:val="528E1C2F"/>
    <w:rsid w:val="52A402D7"/>
    <w:rsid w:val="52C553E8"/>
    <w:rsid w:val="52E07271"/>
    <w:rsid w:val="52EF3659"/>
    <w:rsid w:val="52F5763C"/>
    <w:rsid w:val="530028C4"/>
    <w:rsid w:val="530C12BE"/>
    <w:rsid w:val="530F2B07"/>
    <w:rsid w:val="53332C9A"/>
    <w:rsid w:val="533A3590"/>
    <w:rsid w:val="534263BF"/>
    <w:rsid w:val="535A6678"/>
    <w:rsid w:val="536A2433"/>
    <w:rsid w:val="536FEB0F"/>
    <w:rsid w:val="5371798B"/>
    <w:rsid w:val="537D22D5"/>
    <w:rsid w:val="53801D43"/>
    <w:rsid w:val="53817141"/>
    <w:rsid w:val="53B465FE"/>
    <w:rsid w:val="53B80837"/>
    <w:rsid w:val="53BB25C9"/>
    <w:rsid w:val="53BF2D49"/>
    <w:rsid w:val="53D63625"/>
    <w:rsid w:val="53D87615"/>
    <w:rsid w:val="53DE6D19"/>
    <w:rsid w:val="53EF0A0E"/>
    <w:rsid w:val="540F386B"/>
    <w:rsid w:val="541C56F5"/>
    <w:rsid w:val="543C1E9B"/>
    <w:rsid w:val="54534C76"/>
    <w:rsid w:val="545A7D64"/>
    <w:rsid w:val="54761F9A"/>
    <w:rsid w:val="547D408D"/>
    <w:rsid w:val="548E5CAE"/>
    <w:rsid w:val="54924DBD"/>
    <w:rsid w:val="54A77C29"/>
    <w:rsid w:val="54B037E1"/>
    <w:rsid w:val="54B3431D"/>
    <w:rsid w:val="54D3B19A"/>
    <w:rsid w:val="54DD70B9"/>
    <w:rsid w:val="54F9A219"/>
    <w:rsid w:val="550C44B6"/>
    <w:rsid w:val="55102B67"/>
    <w:rsid w:val="55124922"/>
    <w:rsid w:val="55240B56"/>
    <w:rsid w:val="55340047"/>
    <w:rsid w:val="55362D4A"/>
    <w:rsid w:val="55663A86"/>
    <w:rsid w:val="558A2919"/>
    <w:rsid w:val="558D7767"/>
    <w:rsid w:val="559368AB"/>
    <w:rsid w:val="559D2CA7"/>
    <w:rsid w:val="55B47358"/>
    <w:rsid w:val="55BB6F76"/>
    <w:rsid w:val="55BF71EE"/>
    <w:rsid w:val="55CA6EEB"/>
    <w:rsid w:val="55CE3D27"/>
    <w:rsid w:val="55E468DC"/>
    <w:rsid w:val="55E62245"/>
    <w:rsid w:val="55E93AE3"/>
    <w:rsid w:val="55EB6EB2"/>
    <w:rsid w:val="55EFC158"/>
    <w:rsid w:val="55FB148C"/>
    <w:rsid w:val="56063441"/>
    <w:rsid w:val="56095F34"/>
    <w:rsid w:val="56096EB0"/>
    <w:rsid w:val="561658F7"/>
    <w:rsid w:val="56460B17"/>
    <w:rsid w:val="566841EB"/>
    <w:rsid w:val="566A735D"/>
    <w:rsid w:val="567D2B74"/>
    <w:rsid w:val="56882CAE"/>
    <w:rsid w:val="569532CA"/>
    <w:rsid w:val="569A0274"/>
    <w:rsid w:val="569D09CF"/>
    <w:rsid w:val="56AA6340"/>
    <w:rsid w:val="56B260B3"/>
    <w:rsid w:val="56B624FB"/>
    <w:rsid w:val="56BE6CC3"/>
    <w:rsid w:val="56CF71FD"/>
    <w:rsid w:val="56D26326"/>
    <w:rsid w:val="56DE4862"/>
    <w:rsid w:val="56E53F9F"/>
    <w:rsid w:val="56E6295B"/>
    <w:rsid w:val="56F169FF"/>
    <w:rsid w:val="56F5067C"/>
    <w:rsid w:val="56F57BB8"/>
    <w:rsid w:val="56F783CA"/>
    <w:rsid w:val="56FD1D07"/>
    <w:rsid w:val="57007337"/>
    <w:rsid w:val="570A0FF8"/>
    <w:rsid w:val="57392849"/>
    <w:rsid w:val="573E1E21"/>
    <w:rsid w:val="575907F5"/>
    <w:rsid w:val="5763735F"/>
    <w:rsid w:val="576C0B8A"/>
    <w:rsid w:val="57751472"/>
    <w:rsid w:val="577DC9F1"/>
    <w:rsid w:val="577FE97D"/>
    <w:rsid w:val="57875362"/>
    <w:rsid w:val="57905305"/>
    <w:rsid w:val="57BD1E91"/>
    <w:rsid w:val="57BD4C4E"/>
    <w:rsid w:val="57C25CFB"/>
    <w:rsid w:val="57DF3E29"/>
    <w:rsid w:val="57DFF758"/>
    <w:rsid w:val="57E684E4"/>
    <w:rsid w:val="57EE8AB5"/>
    <w:rsid w:val="57EF43AB"/>
    <w:rsid w:val="57EFCE50"/>
    <w:rsid w:val="57F329F7"/>
    <w:rsid w:val="57F7CD10"/>
    <w:rsid w:val="57FD360C"/>
    <w:rsid w:val="57FD62CE"/>
    <w:rsid w:val="57FE5144"/>
    <w:rsid w:val="57FE96FD"/>
    <w:rsid w:val="58142F85"/>
    <w:rsid w:val="581666E6"/>
    <w:rsid w:val="583E0829"/>
    <w:rsid w:val="58A91308"/>
    <w:rsid w:val="58AE256F"/>
    <w:rsid w:val="58B15932"/>
    <w:rsid w:val="58C41F5E"/>
    <w:rsid w:val="58C65516"/>
    <w:rsid w:val="58E14F46"/>
    <w:rsid w:val="58E7052E"/>
    <w:rsid w:val="58F84CED"/>
    <w:rsid w:val="58FF717A"/>
    <w:rsid w:val="58FF7931"/>
    <w:rsid w:val="59053EBF"/>
    <w:rsid w:val="5917412E"/>
    <w:rsid w:val="5918057F"/>
    <w:rsid w:val="59187C48"/>
    <w:rsid w:val="592E41C7"/>
    <w:rsid w:val="59316405"/>
    <w:rsid w:val="593E4F37"/>
    <w:rsid w:val="593E7E74"/>
    <w:rsid w:val="594E2DC4"/>
    <w:rsid w:val="59590F80"/>
    <w:rsid w:val="595963E1"/>
    <w:rsid w:val="595D63E6"/>
    <w:rsid w:val="596335AA"/>
    <w:rsid w:val="596B67A0"/>
    <w:rsid w:val="596F5479"/>
    <w:rsid w:val="59716BE4"/>
    <w:rsid w:val="59797FF4"/>
    <w:rsid w:val="599C037C"/>
    <w:rsid w:val="59AC5F35"/>
    <w:rsid w:val="59AE3A31"/>
    <w:rsid w:val="59B67D64"/>
    <w:rsid w:val="59C503C4"/>
    <w:rsid w:val="59D7060E"/>
    <w:rsid w:val="59EF766D"/>
    <w:rsid w:val="59EF8669"/>
    <w:rsid w:val="5A1153B7"/>
    <w:rsid w:val="5A4810DC"/>
    <w:rsid w:val="5A5832FD"/>
    <w:rsid w:val="5A6E0912"/>
    <w:rsid w:val="5AB7603F"/>
    <w:rsid w:val="5AD61DA6"/>
    <w:rsid w:val="5ADF0EF0"/>
    <w:rsid w:val="5AF336E4"/>
    <w:rsid w:val="5AFE00AD"/>
    <w:rsid w:val="5B01542B"/>
    <w:rsid w:val="5B1D1B6B"/>
    <w:rsid w:val="5B3670B9"/>
    <w:rsid w:val="5B394BC5"/>
    <w:rsid w:val="5B3B7992"/>
    <w:rsid w:val="5B487E91"/>
    <w:rsid w:val="5B4B1D4C"/>
    <w:rsid w:val="5B67B59F"/>
    <w:rsid w:val="5B6D00D4"/>
    <w:rsid w:val="5B730EC6"/>
    <w:rsid w:val="5B7594A9"/>
    <w:rsid w:val="5B77E9D9"/>
    <w:rsid w:val="5B7C0F56"/>
    <w:rsid w:val="5B7F35E8"/>
    <w:rsid w:val="5B863B83"/>
    <w:rsid w:val="5B9920E1"/>
    <w:rsid w:val="5B9B13DC"/>
    <w:rsid w:val="5B9E2B54"/>
    <w:rsid w:val="5BAB6ABC"/>
    <w:rsid w:val="5BBBC89A"/>
    <w:rsid w:val="5BBC5E7C"/>
    <w:rsid w:val="5BBE156E"/>
    <w:rsid w:val="5BBF3C9A"/>
    <w:rsid w:val="5BBF3F9B"/>
    <w:rsid w:val="5BCDE755"/>
    <w:rsid w:val="5BD112A2"/>
    <w:rsid w:val="5BD4669C"/>
    <w:rsid w:val="5BDEB957"/>
    <w:rsid w:val="5BDF2DD1"/>
    <w:rsid w:val="5BDF7909"/>
    <w:rsid w:val="5BDFFBFC"/>
    <w:rsid w:val="5BE67C8A"/>
    <w:rsid w:val="5BEF2C62"/>
    <w:rsid w:val="5BFB74CF"/>
    <w:rsid w:val="5BFBA2C5"/>
    <w:rsid w:val="5BFDB1FA"/>
    <w:rsid w:val="5C062E36"/>
    <w:rsid w:val="5C0827EA"/>
    <w:rsid w:val="5C247A27"/>
    <w:rsid w:val="5C2515ED"/>
    <w:rsid w:val="5C735EB5"/>
    <w:rsid w:val="5C77B693"/>
    <w:rsid w:val="5C7848DF"/>
    <w:rsid w:val="5C854657"/>
    <w:rsid w:val="5C9A4EB4"/>
    <w:rsid w:val="5CA841E0"/>
    <w:rsid w:val="5CAF2739"/>
    <w:rsid w:val="5CB436F7"/>
    <w:rsid w:val="5CBA5AFD"/>
    <w:rsid w:val="5CDD543C"/>
    <w:rsid w:val="5CDF23FE"/>
    <w:rsid w:val="5CF6674B"/>
    <w:rsid w:val="5CF9550F"/>
    <w:rsid w:val="5CFFD3AD"/>
    <w:rsid w:val="5D093BD3"/>
    <w:rsid w:val="5D381D80"/>
    <w:rsid w:val="5D543B8F"/>
    <w:rsid w:val="5D5E0913"/>
    <w:rsid w:val="5D6AD1F9"/>
    <w:rsid w:val="5D72616D"/>
    <w:rsid w:val="5D7E46CC"/>
    <w:rsid w:val="5D874D67"/>
    <w:rsid w:val="5DBA0C73"/>
    <w:rsid w:val="5DBFDBA2"/>
    <w:rsid w:val="5DD02A12"/>
    <w:rsid w:val="5DDC521D"/>
    <w:rsid w:val="5DE606C2"/>
    <w:rsid w:val="5DE7E609"/>
    <w:rsid w:val="5DEB1133"/>
    <w:rsid w:val="5DED083A"/>
    <w:rsid w:val="5DED7EE9"/>
    <w:rsid w:val="5DED94F7"/>
    <w:rsid w:val="5DF23751"/>
    <w:rsid w:val="5DF42C7F"/>
    <w:rsid w:val="5DFC6F87"/>
    <w:rsid w:val="5DFE343D"/>
    <w:rsid w:val="5DFF4F01"/>
    <w:rsid w:val="5E043FD3"/>
    <w:rsid w:val="5E373159"/>
    <w:rsid w:val="5E456F75"/>
    <w:rsid w:val="5E55774C"/>
    <w:rsid w:val="5E56A2F4"/>
    <w:rsid w:val="5E5B67CE"/>
    <w:rsid w:val="5E68756F"/>
    <w:rsid w:val="5E6E3037"/>
    <w:rsid w:val="5E7C3368"/>
    <w:rsid w:val="5E9DC243"/>
    <w:rsid w:val="5EAEB080"/>
    <w:rsid w:val="5EB00087"/>
    <w:rsid w:val="5EB7823B"/>
    <w:rsid w:val="5EBFDB1A"/>
    <w:rsid w:val="5EC23124"/>
    <w:rsid w:val="5EC90069"/>
    <w:rsid w:val="5EDA221B"/>
    <w:rsid w:val="5EDB6CA6"/>
    <w:rsid w:val="5EDF5B9B"/>
    <w:rsid w:val="5EE3341E"/>
    <w:rsid w:val="5EE5730B"/>
    <w:rsid w:val="5EE75CF9"/>
    <w:rsid w:val="5EE7FD55"/>
    <w:rsid w:val="5EE94B54"/>
    <w:rsid w:val="5EED402A"/>
    <w:rsid w:val="5EEE5138"/>
    <w:rsid w:val="5EEFC605"/>
    <w:rsid w:val="5EF5D5A7"/>
    <w:rsid w:val="5EF7549C"/>
    <w:rsid w:val="5EF82676"/>
    <w:rsid w:val="5EFBE286"/>
    <w:rsid w:val="5EFE6760"/>
    <w:rsid w:val="5EFEBDE8"/>
    <w:rsid w:val="5F071262"/>
    <w:rsid w:val="5F0D2788"/>
    <w:rsid w:val="5F1B2B54"/>
    <w:rsid w:val="5F29A296"/>
    <w:rsid w:val="5F36A53B"/>
    <w:rsid w:val="5F3B80D0"/>
    <w:rsid w:val="5F3D2FCB"/>
    <w:rsid w:val="5F3F24D9"/>
    <w:rsid w:val="5F5D2C03"/>
    <w:rsid w:val="5F5F817E"/>
    <w:rsid w:val="5F6A078D"/>
    <w:rsid w:val="5F6F3501"/>
    <w:rsid w:val="5F6FA60B"/>
    <w:rsid w:val="5F742EAE"/>
    <w:rsid w:val="5F75703D"/>
    <w:rsid w:val="5F76C8DD"/>
    <w:rsid w:val="5F76F5DD"/>
    <w:rsid w:val="5F77B6AE"/>
    <w:rsid w:val="5F7B6446"/>
    <w:rsid w:val="5F7E8410"/>
    <w:rsid w:val="5F7EFBD0"/>
    <w:rsid w:val="5F824661"/>
    <w:rsid w:val="5F8F58FD"/>
    <w:rsid w:val="5F9CA966"/>
    <w:rsid w:val="5FB582FE"/>
    <w:rsid w:val="5FC93F22"/>
    <w:rsid w:val="5FCD77FA"/>
    <w:rsid w:val="5FDADBF1"/>
    <w:rsid w:val="5FDFE637"/>
    <w:rsid w:val="5FE68CD3"/>
    <w:rsid w:val="5FED2443"/>
    <w:rsid w:val="5FEFF63C"/>
    <w:rsid w:val="5FF52054"/>
    <w:rsid w:val="5FFB9C34"/>
    <w:rsid w:val="5FFFE3FC"/>
    <w:rsid w:val="60127C0F"/>
    <w:rsid w:val="601812FE"/>
    <w:rsid w:val="6037210C"/>
    <w:rsid w:val="60432042"/>
    <w:rsid w:val="60446A85"/>
    <w:rsid w:val="604A2B7D"/>
    <w:rsid w:val="604B360A"/>
    <w:rsid w:val="604B7450"/>
    <w:rsid w:val="605E6E7C"/>
    <w:rsid w:val="606A2A04"/>
    <w:rsid w:val="606B0C37"/>
    <w:rsid w:val="606C1FF9"/>
    <w:rsid w:val="60726177"/>
    <w:rsid w:val="607557E9"/>
    <w:rsid w:val="60793CB6"/>
    <w:rsid w:val="60810A9F"/>
    <w:rsid w:val="60851358"/>
    <w:rsid w:val="60932FCA"/>
    <w:rsid w:val="60B115FD"/>
    <w:rsid w:val="60C34F31"/>
    <w:rsid w:val="60C94376"/>
    <w:rsid w:val="60CF38D6"/>
    <w:rsid w:val="60E031AA"/>
    <w:rsid w:val="610B56F0"/>
    <w:rsid w:val="61134276"/>
    <w:rsid w:val="611440D5"/>
    <w:rsid w:val="61180C57"/>
    <w:rsid w:val="61283090"/>
    <w:rsid w:val="612B107A"/>
    <w:rsid w:val="612C6F7A"/>
    <w:rsid w:val="612E684E"/>
    <w:rsid w:val="613F6B74"/>
    <w:rsid w:val="615A31FB"/>
    <w:rsid w:val="617701F5"/>
    <w:rsid w:val="61862D40"/>
    <w:rsid w:val="61A71DDD"/>
    <w:rsid w:val="61AB7E9F"/>
    <w:rsid w:val="61AD00BB"/>
    <w:rsid w:val="61BC3E5D"/>
    <w:rsid w:val="61C60E54"/>
    <w:rsid w:val="61C6117D"/>
    <w:rsid w:val="61CC08C9"/>
    <w:rsid w:val="61FC4013"/>
    <w:rsid w:val="625153B1"/>
    <w:rsid w:val="627A277D"/>
    <w:rsid w:val="62892409"/>
    <w:rsid w:val="62927182"/>
    <w:rsid w:val="629372B1"/>
    <w:rsid w:val="62AD38B7"/>
    <w:rsid w:val="62CC4F22"/>
    <w:rsid w:val="62DA4540"/>
    <w:rsid w:val="62EC6B66"/>
    <w:rsid w:val="62EF97F0"/>
    <w:rsid w:val="62F75092"/>
    <w:rsid w:val="63071A4D"/>
    <w:rsid w:val="630B33CF"/>
    <w:rsid w:val="633A3BD0"/>
    <w:rsid w:val="6355379B"/>
    <w:rsid w:val="637075F2"/>
    <w:rsid w:val="63707CB6"/>
    <w:rsid w:val="63841614"/>
    <w:rsid w:val="638B78E4"/>
    <w:rsid w:val="639541E8"/>
    <w:rsid w:val="639F57E1"/>
    <w:rsid w:val="63C41C93"/>
    <w:rsid w:val="63E73A58"/>
    <w:rsid w:val="63F7E04C"/>
    <w:rsid w:val="63FA5D9B"/>
    <w:rsid w:val="63FB5626"/>
    <w:rsid w:val="64061766"/>
    <w:rsid w:val="64116946"/>
    <w:rsid w:val="644B238B"/>
    <w:rsid w:val="645741FF"/>
    <w:rsid w:val="647703BF"/>
    <w:rsid w:val="647B624F"/>
    <w:rsid w:val="649A2379"/>
    <w:rsid w:val="649B244D"/>
    <w:rsid w:val="64B55A64"/>
    <w:rsid w:val="64C319A4"/>
    <w:rsid w:val="64DD6A31"/>
    <w:rsid w:val="64E330A7"/>
    <w:rsid w:val="64E35BA2"/>
    <w:rsid w:val="6514179A"/>
    <w:rsid w:val="6518584B"/>
    <w:rsid w:val="65532808"/>
    <w:rsid w:val="655C588C"/>
    <w:rsid w:val="65655F33"/>
    <w:rsid w:val="65757142"/>
    <w:rsid w:val="65766A16"/>
    <w:rsid w:val="658F2796"/>
    <w:rsid w:val="659A13EE"/>
    <w:rsid w:val="65A60CBD"/>
    <w:rsid w:val="65B505B4"/>
    <w:rsid w:val="65BC6B1F"/>
    <w:rsid w:val="65CB1601"/>
    <w:rsid w:val="65E86B02"/>
    <w:rsid w:val="65EB11B2"/>
    <w:rsid w:val="65ED3349"/>
    <w:rsid w:val="65F81244"/>
    <w:rsid w:val="65FD9F25"/>
    <w:rsid w:val="65FDA08C"/>
    <w:rsid w:val="65FFA35B"/>
    <w:rsid w:val="661F3A8D"/>
    <w:rsid w:val="66210EA6"/>
    <w:rsid w:val="6639016F"/>
    <w:rsid w:val="663E0FD0"/>
    <w:rsid w:val="66417D66"/>
    <w:rsid w:val="666FFCBE"/>
    <w:rsid w:val="667E69D9"/>
    <w:rsid w:val="669A355D"/>
    <w:rsid w:val="669F746D"/>
    <w:rsid w:val="66B82A1D"/>
    <w:rsid w:val="66CD2720"/>
    <w:rsid w:val="66E7215A"/>
    <w:rsid w:val="66EA76BB"/>
    <w:rsid w:val="66F0321F"/>
    <w:rsid w:val="67242BCD"/>
    <w:rsid w:val="672500B3"/>
    <w:rsid w:val="672D7E08"/>
    <w:rsid w:val="672F1572"/>
    <w:rsid w:val="67382550"/>
    <w:rsid w:val="6764CC94"/>
    <w:rsid w:val="67650376"/>
    <w:rsid w:val="676D24F6"/>
    <w:rsid w:val="676F9FA3"/>
    <w:rsid w:val="677B7551"/>
    <w:rsid w:val="677E1655"/>
    <w:rsid w:val="678EFF6B"/>
    <w:rsid w:val="679C66B0"/>
    <w:rsid w:val="679D028A"/>
    <w:rsid w:val="679F10E2"/>
    <w:rsid w:val="67AB6E4B"/>
    <w:rsid w:val="67B2A003"/>
    <w:rsid w:val="67BD2FCB"/>
    <w:rsid w:val="67BEEDDA"/>
    <w:rsid w:val="67BFDE23"/>
    <w:rsid w:val="67C7700B"/>
    <w:rsid w:val="67DA6B58"/>
    <w:rsid w:val="67DBAF28"/>
    <w:rsid w:val="67DF57EB"/>
    <w:rsid w:val="67DFA4E1"/>
    <w:rsid w:val="67EA0323"/>
    <w:rsid w:val="67EE653C"/>
    <w:rsid w:val="67F00D02"/>
    <w:rsid w:val="67F51B98"/>
    <w:rsid w:val="67F68F6D"/>
    <w:rsid w:val="67F70C86"/>
    <w:rsid w:val="67F753E2"/>
    <w:rsid w:val="67FAC5F5"/>
    <w:rsid w:val="67FB1CF4"/>
    <w:rsid w:val="67FB7237"/>
    <w:rsid w:val="67FBD462"/>
    <w:rsid w:val="67FE5953"/>
    <w:rsid w:val="67FE7938"/>
    <w:rsid w:val="67FF0FE6"/>
    <w:rsid w:val="67FFBE03"/>
    <w:rsid w:val="68212C69"/>
    <w:rsid w:val="683055E0"/>
    <w:rsid w:val="685E2C16"/>
    <w:rsid w:val="68BB3C1A"/>
    <w:rsid w:val="68BEFE50"/>
    <w:rsid w:val="68C146E7"/>
    <w:rsid w:val="68CA2609"/>
    <w:rsid w:val="68CC1AED"/>
    <w:rsid w:val="68CD2B5E"/>
    <w:rsid w:val="68E714C9"/>
    <w:rsid w:val="68E9380F"/>
    <w:rsid w:val="68F55EA4"/>
    <w:rsid w:val="68F65F5C"/>
    <w:rsid w:val="69086CDA"/>
    <w:rsid w:val="69094DDC"/>
    <w:rsid w:val="6912081D"/>
    <w:rsid w:val="69140A20"/>
    <w:rsid w:val="691E4EBF"/>
    <w:rsid w:val="691E6E1A"/>
    <w:rsid w:val="694C640B"/>
    <w:rsid w:val="694D0F74"/>
    <w:rsid w:val="696E4CF1"/>
    <w:rsid w:val="696F5C56"/>
    <w:rsid w:val="698A0EB3"/>
    <w:rsid w:val="69905C47"/>
    <w:rsid w:val="69A16A5A"/>
    <w:rsid w:val="69AA560F"/>
    <w:rsid w:val="69B14B9D"/>
    <w:rsid w:val="69BB0F42"/>
    <w:rsid w:val="69E13C23"/>
    <w:rsid w:val="69E44896"/>
    <w:rsid w:val="69EE3063"/>
    <w:rsid w:val="6A0A6C1A"/>
    <w:rsid w:val="6A320795"/>
    <w:rsid w:val="6A637494"/>
    <w:rsid w:val="6A771266"/>
    <w:rsid w:val="6AD572A9"/>
    <w:rsid w:val="6ADE0446"/>
    <w:rsid w:val="6AE76759"/>
    <w:rsid w:val="6AF64570"/>
    <w:rsid w:val="6AFE8156"/>
    <w:rsid w:val="6AFFA5C9"/>
    <w:rsid w:val="6B272C8C"/>
    <w:rsid w:val="6B2F1B41"/>
    <w:rsid w:val="6B332268"/>
    <w:rsid w:val="6B376C47"/>
    <w:rsid w:val="6B3FC6FA"/>
    <w:rsid w:val="6B44012D"/>
    <w:rsid w:val="6B4D5C8F"/>
    <w:rsid w:val="6B4E7C81"/>
    <w:rsid w:val="6B6F4E93"/>
    <w:rsid w:val="6B8160BE"/>
    <w:rsid w:val="6B875CE9"/>
    <w:rsid w:val="6B9F066B"/>
    <w:rsid w:val="6BB2C582"/>
    <w:rsid w:val="6BB727D7"/>
    <w:rsid w:val="6BB77DE6"/>
    <w:rsid w:val="6BCF62E6"/>
    <w:rsid w:val="6BDF234E"/>
    <w:rsid w:val="6BE91822"/>
    <w:rsid w:val="6BEB702E"/>
    <w:rsid w:val="6BF402CB"/>
    <w:rsid w:val="6BF7E7BA"/>
    <w:rsid w:val="6BF7F790"/>
    <w:rsid w:val="6BFA64B8"/>
    <w:rsid w:val="6BFC9D82"/>
    <w:rsid w:val="6BFD518D"/>
    <w:rsid w:val="6BFE1820"/>
    <w:rsid w:val="6C22112B"/>
    <w:rsid w:val="6C48094C"/>
    <w:rsid w:val="6C7FE446"/>
    <w:rsid w:val="6C9360FF"/>
    <w:rsid w:val="6C944351"/>
    <w:rsid w:val="6C9D0D2C"/>
    <w:rsid w:val="6C9F17B1"/>
    <w:rsid w:val="6CBB0F79"/>
    <w:rsid w:val="6CCF5DD4"/>
    <w:rsid w:val="6CD3A16D"/>
    <w:rsid w:val="6CE64869"/>
    <w:rsid w:val="6CE7FE11"/>
    <w:rsid w:val="6CEB68FD"/>
    <w:rsid w:val="6CFBD556"/>
    <w:rsid w:val="6CFFED4F"/>
    <w:rsid w:val="6D05232B"/>
    <w:rsid w:val="6D201AAA"/>
    <w:rsid w:val="6D21131A"/>
    <w:rsid w:val="6D2B3891"/>
    <w:rsid w:val="6D2C2A4F"/>
    <w:rsid w:val="6D2F7020"/>
    <w:rsid w:val="6D3E250F"/>
    <w:rsid w:val="6D3E7E26"/>
    <w:rsid w:val="6D484DC2"/>
    <w:rsid w:val="6D4F0278"/>
    <w:rsid w:val="6D516F94"/>
    <w:rsid w:val="6D535020"/>
    <w:rsid w:val="6D552C30"/>
    <w:rsid w:val="6D5F1B3D"/>
    <w:rsid w:val="6D696D1C"/>
    <w:rsid w:val="6D7101EF"/>
    <w:rsid w:val="6D7C6502"/>
    <w:rsid w:val="6DAF3F80"/>
    <w:rsid w:val="6DB63E53"/>
    <w:rsid w:val="6DB7D73F"/>
    <w:rsid w:val="6DC507B0"/>
    <w:rsid w:val="6DC9627D"/>
    <w:rsid w:val="6DCA3DA3"/>
    <w:rsid w:val="6DD60CA2"/>
    <w:rsid w:val="6DDB1B0C"/>
    <w:rsid w:val="6DDBE7BF"/>
    <w:rsid w:val="6DDF51C9"/>
    <w:rsid w:val="6DF17581"/>
    <w:rsid w:val="6DF37591"/>
    <w:rsid w:val="6DF82E16"/>
    <w:rsid w:val="6DF9B5CA"/>
    <w:rsid w:val="6DFB56FE"/>
    <w:rsid w:val="6DFF1692"/>
    <w:rsid w:val="6DFF17D3"/>
    <w:rsid w:val="6DFF703B"/>
    <w:rsid w:val="6E291A60"/>
    <w:rsid w:val="6E3000AA"/>
    <w:rsid w:val="6E326900"/>
    <w:rsid w:val="6E38414C"/>
    <w:rsid w:val="6E3851B0"/>
    <w:rsid w:val="6E390680"/>
    <w:rsid w:val="6E441099"/>
    <w:rsid w:val="6E5D8D12"/>
    <w:rsid w:val="6E5F49A6"/>
    <w:rsid w:val="6E7F4871"/>
    <w:rsid w:val="6E8060D9"/>
    <w:rsid w:val="6E8432A7"/>
    <w:rsid w:val="6E8C8702"/>
    <w:rsid w:val="6E9A15E4"/>
    <w:rsid w:val="6E9F73C1"/>
    <w:rsid w:val="6EA30BD3"/>
    <w:rsid w:val="6EA82557"/>
    <w:rsid w:val="6EBA5633"/>
    <w:rsid w:val="6EBAE07A"/>
    <w:rsid w:val="6EBD2982"/>
    <w:rsid w:val="6EBF8BD6"/>
    <w:rsid w:val="6EC26419"/>
    <w:rsid w:val="6ED94841"/>
    <w:rsid w:val="6EDEB109"/>
    <w:rsid w:val="6EE3511C"/>
    <w:rsid w:val="6EEFF7CF"/>
    <w:rsid w:val="6EF1599D"/>
    <w:rsid w:val="6EF50484"/>
    <w:rsid w:val="6EFB6B59"/>
    <w:rsid w:val="6EFB7EA7"/>
    <w:rsid w:val="6EFFE660"/>
    <w:rsid w:val="6F1D581A"/>
    <w:rsid w:val="6F1F2B64"/>
    <w:rsid w:val="6F1FD1F1"/>
    <w:rsid w:val="6F2729DD"/>
    <w:rsid w:val="6F3064A7"/>
    <w:rsid w:val="6F3A0AB4"/>
    <w:rsid w:val="6F653D83"/>
    <w:rsid w:val="6F658ABE"/>
    <w:rsid w:val="6F6C40DC"/>
    <w:rsid w:val="6F7242AA"/>
    <w:rsid w:val="6F76AB6E"/>
    <w:rsid w:val="6F7D85DE"/>
    <w:rsid w:val="6F7E8F25"/>
    <w:rsid w:val="6F7F7E44"/>
    <w:rsid w:val="6FAB781B"/>
    <w:rsid w:val="6FAFB1E3"/>
    <w:rsid w:val="6FBE3F11"/>
    <w:rsid w:val="6FBEABF1"/>
    <w:rsid w:val="6FBF5839"/>
    <w:rsid w:val="6FBFF9D5"/>
    <w:rsid w:val="6FC40BD0"/>
    <w:rsid w:val="6FC9D63F"/>
    <w:rsid w:val="6FD31416"/>
    <w:rsid w:val="6FD35191"/>
    <w:rsid w:val="6FD739D0"/>
    <w:rsid w:val="6FDBADA1"/>
    <w:rsid w:val="6FDCD7E8"/>
    <w:rsid w:val="6FDD7DBD"/>
    <w:rsid w:val="6FDEC31B"/>
    <w:rsid w:val="6FDF257D"/>
    <w:rsid w:val="6FDFC23A"/>
    <w:rsid w:val="6FE731C7"/>
    <w:rsid w:val="6FE769C0"/>
    <w:rsid w:val="6FEFB5A9"/>
    <w:rsid w:val="6FEFFB79"/>
    <w:rsid w:val="6FF506BB"/>
    <w:rsid w:val="6FF7744B"/>
    <w:rsid w:val="6FFB9269"/>
    <w:rsid w:val="6FFD3638"/>
    <w:rsid w:val="6FFD5F18"/>
    <w:rsid w:val="6FFF1221"/>
    <w:rsid w:val="6FFF37D2"/>
    <w:rsid w:val="6FFF9957"/>
    <w:rsid w:val="6FFFCA29"/>
    <w:rsid w:val="6FFFCA9E"/>
    <w:rsid w:val="701C39A1"/>
    <w:rsid w:val="70413814"/>
    <w:rsid w:val="70433998"/>
    <w:rsid w:val="704537CE"/>
    <w:rsid w:val="705242F2"/>
    <w:rsid w:val="70AD1920"/>
    <w:rsid w:val="70C31ADD"/>
    <w:rsid w:val="70C8281B"/>
    <w:rsid w:val="70DE2EF1"/>
    <w:rsid w:val="70E946A1"/>
    <w:rsid w:val="70EC075E"/>
    <w:rsid w:val="7111179A"/>
    <w:rsid w:val="71153048"/>
    <w:rsid w:val="71172F64"/>
    <w:rsid w:val="711E7547"/>
    <w:rsid w:val="71334B0C"/>
    <w:rsid w:val="713944DB"/>
    <w:rsid w:val="714D4ACF"/>
    <w:rsid w:val="714D61F8"/>
    <w:rsid w:val="715A543E"/>
    <w:rsid w:val="71925BBA"/>
    <w:rsid w:val="719E54A9"/>
    <w:rsid w:val="71A861A9"/>
    <w:rsid w:val="71C310EB"/>
    <w:rsid w:val="71D22E03"/>
    <w:rsid w:val="71EF3DD8"/>
    <w:rsid w:val="71FD7F0A"/>
    <w:rsid w:val="72001B41"/>
    <w:rsid w:val="722642DD"/>
    <w:rsid w:val="72434F77"/>
    <w:rsid w:val="724A1690"/>
    <w:rsid w:val="72571A58"/>
    <w:rsid w:val="72710C91"/>
    <w:rsid w:val="72760055"/>
    <w:rsid w:val="72901B70"/>
    <w:rsid w:val="72905936"/>
    <w:rsid w:val="72A31689"/>
    <w:rsid w:val="72A844B8"/>
    <w:rsid w:val="72AE3712"/>
    <w:rsid w:val="72BB015E"/>
    <w:rsid w:val="72BE5664"/>
    <w:rsid w:val="72BFF311"/>
    <w:rsid w:val="72F64878"/>
    <w:rsid w:val="72FD0171"/>
    <w:rsid w:val="731C54AF"/>
    <w:rsid w:val="731D4975"/>
    <w:rsid w:val="732E6B82"/>
    <w:rsid w:val="733E0DE9"/>
    <w:rsid w:val="733F2B3D"/>
    <w:rsid w:val="735F0AE9"/>
    <w:rsid w:val="735FBDFB"/>
    <w:rsid w:val="73BBD739"/>
    <w:rsid w:val="73BFBBC8"/>
    <w:rsid w:val="73CF192B"/>
    <w:rsid w:val="73CFDE0D"/>
    <w:rsid w:val="73E5D3F8"/>
    <w:rsid w:val="73EF34D5"/>
    <w:rsid w:val="73F014E8"/>
    <w:rsid w:val="73FFD778"/>
    <w:rsid w:val="74277859"/>
    <w:rsid w:val="7437A8A2"/>
    <w:rsid w:val="746D2D67"/>
    <w:rsid w:val="747C4EA6"/>
    <w:rsid w:val="74934EEE"/>
    <w:rsid w:val="74A378D7"/>
    <w:rsid w:val="74A93097"/>
    <w:rsid w:val="74AA375E"/>
    <w:rsid w:val="74B17836"/>
    <w:rsid w:val="74B45345"/>
    <w:rsid w:val="74B75668"/>
    <w:rsid w:val="74C57AA1"/>
    <w:rsid w:val="74CDE9A5"/>
    <w:rsid w:val="74DB0643"/>
    <w:rsid w:val="74DD0B54"/>
    <w:rsid w:val="74DF046A"/>
    <w:rsid w:val="74FE37C6"/>
    <w:rsid w:val="75121B9E"/>
    <w:rsid w:val="751C10AA"/>
    <w:rsid w:val="751F1F72"/>
    <w:rsid w:val="752E279A"/>
    <w:rsid w:val="75317FE7"/>
    <w:rsid w:val="7538683A"/>
    <w:rsid w:val="75440E09"/>
    <w:rsid w:val="755E4BB8"/>
    <w:rsid w:val="7564579F"/>
    <w:rsid w:val="757A40B8"/>
    <w:rsid w:val="757B0B3A"/>
    <w:rsid w:val="757E09C8"/>
    <w:rsid w:val="757F3C28"/>
    <w:rsid w:val="757FE401"/>
    <w:rsid w:val="75854F8B"/>
    <w:rsid w:val="75964C07"/>
    <w:rsid w:val="759F981B"/>
    <w:rsid w:val="75A27BD8"/>
    <w:rsid w:val="75AB3F02"/>
    <w:rsid w:val="75B5F6E0"/>
    <w:rsid w:val="75B75963"/>
    <w:rsid w:val="75C02329"/>
    <w:rsid w:val="75C4038F"/>
    <w:rsid w:val="75D1F2FE"/>
    <w:rsid w:val="75D73501"/>
    <w:rsid w:val="75DA0E59"/>
    <w:rsid w:val="75DA6B4D"/>
    <w:rsid w:val="75F78DD1"/>
    <w:rsid w:val="75FF2FB4"/>
    <w:rsid w:val="75FF6A04"/>
    <w:rsid w:val="75FFB19D"/>
    <w:rsid w:val="7601232C"/>
    <w:rsid w:val="761217D9"/>
    <w:rsid w:val="765048D8"/>
    <w:rsid w:val="765661D4"/>
    <w:rsid w:val="765F4924"/>
    <w:rsid w:val="766823AB"/>
    <w:rsid w:val="76725CE0"/>
    <w:rsid w:val="76726815"/>
    <w:rsid w:val="76760624"/>
    <w:rsid w:val="767E0740"/>
    <w:rsid w:val="767E1BCE"/>
    <w:rsid w:val="768216BE"/>
    <w:rsid w:val="76855DC1"/>
    <w:rsid w:val="768B31D0"/>
    <w:rsid w:val="769CAB48"/>
    <w:rsid w:val="769E19EA"/>
    <w:rsid w:val="76A934EF"/>
    <w:rsid w:val="76C13293"/>
    <w:rsid w:val="76C2046C"/>
    <w:rsid w:val="76D37824"/>
    <w:rsid w:val="76DB006C"/>
    <w:rsid w:val="76DC62DF"/>
    <w:rsid w:val="76DD3EB4"/>
    <w:rsid w:val="76DD959C"/>
    <w:rsid w:val="76DE16BB"/>
    <w:rsid w:val="76E403EF"/>
    <w:rsid w:val="76E93A81"/>
    <w:rsid w:val="76E9529A"/>
    <w:rsid w:val="76ECEEDF"/>
    <w:rsid w:val="76FD4CDF"/>
    <w:rsid w:val="76FDD92D"/>
    <w:rsid w:val="771149DE"/>
    <w:rsid w:val="772DDD19"/>
    <w:rsid w:val="7737098A"/>
    <w:rsid w:val="7737EB57"/>
    <w:rsid w:val="77482A08"/>
    <w:rsid w:val="776540E3"/>
    <w:rsid w:val="77671538"/>
    <w:rsid w:val="7771473F"/>
    <w:rsid w:val="777441CE"/>
    <w:rsid w:val="77753FF4"/>
    <w:rsid w:val="777B4DEB"/>
    <w:rsid w:val="777FC7B7"/>
    <w:rsid w:val="777FE422"/>
    <w:rsid w:val="779FAC49"/>
    <w:rsid w:val="77A964D0"/>
    <w:rsid w:val="77AF2768"/>
    <w:rsid w:val="77AF6FC5"/>
    <w:rsid w:val="77B7392F"/>
    <w:rsid w:val="77B92803"/>
    <w:rsid w:val="77BC6017"/>
    <w:rsid w:val="77BEF741"/>
    <w:rsid w:val="77C7039F"/>
    <w:rsid w:val="77CF86E0"/>
    <w:rsid w:val="77D535C3"/>
    <w:rsid w:val="77DB444D"/>
    <w:rsid w:val="77DBE122"/>
    <w:rsid w:val="77E386FB"/>
    <w:rsid w:val="77E618D8"/>
    <w:rsid w:val="77E7F54E"/>
    <w:rsid w:val="77EAF927"/>
    <w:rsid w:val="77F81366"/>
    <w:rsid w:val="77FB3A67"/>
    <w:rsid w:val="77FCD2F0"/>
    <w:rsid w:val="77FD0DF8"/>
    <w:rsid w:val="77FD6552"/>
    <w:rsid w:val="77FE4752"/>
    <w:rsid w:val="77FEA750"/>
    <w:rsid w:val="77FF6C33"/>
    <w:rsid w:val="78056103"/>
    <w:rsid w:val="780E2ADE"/>
    <w:rsid w:val="78144598"/>
    <w:rsid w:val="78171102"/>
    <w:rsid w:val="78202F3D"/>
    <w:rsid w:val="78340796"/>
    <w:rsid w:val="78442870"/>
    <w:rsid w:val="784D1015"/>
    <w:rsid w:val="78601D3E"/>
    <w:rsid w:val="7862086D"/>
    <w:rsid w:val="78701C92"/>
    <w:rsid w:val="7872438A"/>
    <w:rsid w:val="78781F20"/>
    <w:rsid w:val="78947487"/>
    <w:rsid w:val="78A6B2A2"/>
    <w:rsid w:val="78B05A0E"/>
    <w:rsid w:val="78BBFBE1"/>
    <w:rsid w:val="78C12D3B"/>
    <w:rsid w:val="78DD2BDC"/>
    <w:rsid w:val="78DD330F"/>
    <w:rsid w:val="78E42949"/>
    <w:rsid w:val="78E721C3"/>
    <w:rsid w:val="78EDD2F1"/>
    <w:rsid w:val="78F764C3"/>
    <w:rsid w:val="78FEB48F"/>
    <w:rsid w:val="78FFE51A"/>
    <w:rsid w:val="793E4BE4"/>
    <w:rsid w:val="79500936"/>
    <w:rsid w:val="796500F1"/>
    <w:rsid w:val="79660E24"/>
    <w:rsid w:val="796C22A6"/>
    <w:rsid w:val="797169C9"/>
    <w:rsid w:val="79772520"/>
    <w:rsid w:val="7977A40D"/>
    <w:rsid w:val="79870D9A"/>
    <w:rsid w:val="798D5A6E"/>
    <w:rsid w:val="79A15333"/>
    <w:rsid w:val="79B7A12E"/>
    <w:rsid w:val="79B952FF"/>
    <w:rsid w:val="79BBBA9B"/>
    <w:rsid w:val="79DD42FA"/>
    <w:rsid w:val="79DE7490"/>
    <w:rsid w:val="79F3642F"/>
    <w:rsid w:val="79FC9715"/>
    <w:rsid w:val="79FFDC99"/>
    <w:rsid w:val="79FFF322"/>
    <w:rsid w:val="7A01456B"/>
    <w:rsid w:val="7A1103F0"/>
    <w:rsid w:val="7A3E6B39"/>
    <w:rsid w:val="7A60342C"/>
    <w:rsid w:val="7A6C043E"/>
    <w:rsid w:val="7A7B0AAD"/>
    <w:rsid w:val="7A9A96AA"/>
    <w:rsid w:val="7AA05CB1"/>
    <w:rsid w:val="7AA2730F"/>
    <w:rsid w:val="7AA975E0"/>
    <w:rsid w:val="7AAA2106"/>
    <w:rsid w:val="7AAA783E"/>
    <w:rsid w:val="7ACE4140"/>
    <w:rsid w:val="7AD01970"/>
    <w:rsid w:val="7AD447E0"/>
    <w:rsid w:val="7ADA324A"/>
    <w:rsid w:val="7ADE51DC"/>
    <w:rsid w:val="7AE04C06"/>
    <w:rsid w:val="7AE534AB"/>
    <w:rsid w:val="7AE7170A"/>
    <w:rsid w:val="7AF11424"/>
    <w:rsid w:val="7AFB4F4E"/>
    <w:rsid w:val="7AFEC5C9"/>
    <w:rsid w:val="7AFEFB72"/>
    <w:rsid w:val="7AFF5EA5"/>
    <w:rsid w:val="7B116E16"/>
    <w:rsid w:val="7B172113"/>
    <w:rsid w:val="7B253F1A"/>
    <w:rsid w:val="7B271F47"/>
    <w:rsid w:val="7B2F1061"/>
    <w:rsid w:val="7B3F1A98"/>
    <w:rsid w:val="7B4C4A66"/>
    <w:rsid w:val="7B5D3071"/>
    <w:rsid w:val="7B631DD3"/>
    <w:rsid w:val="7B668D43"/>
    <w:rsid w:val="7B6E15BA"/>
    <w:rsid w:val="7B742A28"/>
    <w:rsid w:val="7B783090"/>
    <w:rsid w:val="7B7EA3EA"/>
    <w:rsid w:val="7B7F1277"/>
    <w:rsid w:val="7B7F85FF"/>
    <w:rsid w:val="7B9446FF"/>
    <w:rsid w:val="7B9CEDB5"/>
    <w:rsid w:val="7B9FA30C"/>
    <w:rsid w:val="7BA20599"/>
    <w:rsid w:val="7BAD5C89"/>
    <w:rsid w:val="7BAFD5BE"/>
    <w:rsid w:val="7BB04097"/>
    <w:rsid w:val="7BB7AAE2"/>
    <w:rsid w:val="7BBF6C5C"/>
    <w:rsid w:val="7BD42EFF"/>
    <w:rsid w:val="7BD90701"/>
    <w:rsid w:val="7BDC6D6E"/>
    <w:rsid w:val="7BDE9A61"/>
    <w:rsid w:val="7BDF29C5"/>
    <w:rsid w:val="7BDFA41A"/>
    <w:rsid w:val="7BDFD4CA"/>
    <w:rsid w:val="7BE56AB8"/>
    <w:rsid w:val="7BE716BD"/>
    <w:rsid w:val="7BE9B751"/>
    <w:rsid w:val="7BEB2733"/>
    <w:rsid w:val="7BEB3F36"/>
    <w:rsid w:val="7BEC0C0D"/>
    <w:rsid w:val="7BEE3AF6"/>
    <w:rsid w:val="7BF3D35C"/>
    <w:rsid w:val="7BF3F545"/>
    <w:rsid w:val="7BF70F43"/>
    <w:rsid w:val="7BF9B6FD"/>
    <w:rsid w:val="7BFD72D5"/>
    <w:rsid w:val="7BFE8E01"/>
    <w:rsid w:val="7BFF5E1F"/>
    <w:rsid w:val="7BFFDA0F"/>
    <w:rsid w:val="7BFFFF83"/>
    <w:rsid w:val="7C092067"/>
    <w:rsid w:val="7C0C3F27"/>
    <w:rsid w:val="7C273833"/>
    <w:rsid w:val="7C453568"/>
    <w:rsid w:val="7C460A98"/>
    <w:rsid w:val="7C5B3262"/>
    <w:rsid w:val="7C5F4108"/>
    <w:rsid w:val="7C614047"/>
    <w:rsid w:val="7C6D66DD"/>
    <w:rsid w:val="7C7191C8"/>
    <w:rsid w:val="7C73417F"/>
    <w:rsid w:val="7C776FEE"/>
    <w:rsid w:val="7C7966E8"/>
    <w:rsid w:val="7C7B2764"/>
    <w:rsid w:val="7C7FCE38"/>
    <w:rsid w:val="7C867F82"/>
    <w:rsid w:val="7C8A0590"/>
    <w:rsid w:val="7C943EFA"/>
    <w:rsid w:val="7C972272"/>
    <w:rsid w:val="7C9D0309"/>
    <w:rsid w:val="7C9E2682"/>
    <w:rsid w:val="7CA0539A"/>
    <w:rsid w:val="7CB514D4"/>
    <w:rsid w:val="7CBC311C"/>
    <w:rsid w:val="7CC54D96"/>
    <w:rsid w:val="7CCD381F"/>
    <w:rsid w:val="7CCD3CED"/>
    <w:rsid w:val="7CCEFC80"/>
    <w:rsid w:val="7CCFFD88"/>
    <w:rsid w:val="7CD12A58"/>
    <w:rsid w:val="7CD67CEB"/>
    <w:rsid w:val="7CD7100B"/>
    <w:rsid w:val="7CDFD684"/>
    <w:rsid w:val="7CE23AF4"/>
    <w:rsid w:val="7CE9ADFE"/>
    <w:rsid w:val="7CF7005E"/>
    <w:rsid w:val="7CFB8603"/>
    <w:rsid w:val="7CFD5235"/>
    <w:rsid w:val="7CFE5AB0"/>
    <w:rsid w:val="7CFF230C"/>
    <w:rsid w:val="7D1103C2"/>
    <w:rsid w:val="7D2E930D"/>
    <w:rsid w:val="7D3547CC"/>
    <w:rsid w:val="7D357A06"/>
    <w:rsid w:val="7D3C352C"/>
    <w:rsid w:val="7D3D3B03"/>
    <w:rsid w:val="7D3E29F9"/>
    <w:rsid w:val="7D6531A0"/>
    <w:rsid w:val="7D66209A"/>
    <w:rsid w:val="7D6720ED"/>
    <w:rsid w:val="7D730375"/>
    <w:rsid w:val="7D77ABC5"/>
    <w:rsid w:val="7D7A2EAC"/>
    <w:rsid w:val="7D7F2BD0"/>
    <w:rsid w:val="7D7FD867"/>
    <w:rsid w:val="7D804FE9"/>
    <w:rsid w:val="7D8F2381"/>
    <w:rsid w:val="7D9F6D10"/>
    <w:rsid w:val="7DA360E9"/>
    <w:rsid w:val="7DA36C2B"/>
    <w:rsid w:val="7DB042DB"/>
    <w:rsid w:val="7DBE7EAA"/>
    <w:rsid w:val="7DBF00B4"/>
    <w:rsid w:val="7DBF192F"/>
    <w:rsid w:val="7DBF6BAE"/>
    <w:rsid w:val="7DBF71E7"/>
    <w:rsid w:val="7DBFB733"/>
    <w:rsid w:val="7DC43DBF"/>
    <w:rsid w:val="7DC94750"/>
    <w:rsid w:val="7DCD2C0D"/>
    <w:rsid w:val="7DD7BEC2"/>
    <w:rsid w:val="7DD9CDF7"/>
    <w:rsid w:val="7DDC7413"/>
    <w:rsid w:val="7DE150DD"/>
    <w:rsid w:val="7DE3FD14"/>
    <w:rsid w:val="7DE5BBCB"/>
    <w:rsid w:val="7DEDEA65"/>
    <w:rsid w:val="7DF21152"/>
    <w:rsid w:val="7DF34C50"/>
    <w:rsid w:val="7DF637CD"/>
    <w:rsid w:val="7DF66C5F"/>
    <w:rsid w:val="7DF77C95"/>
    <w:rsid w:val="7DFB0E3E"/>
    <w:rsid w:val="7DFBAB19"/>
    <w:rsid w:val="7DFC5158"/>
    <w:rsid w:val="7DFD1522"/>
    <w:rsid w:val="7DFD2679"/>
    <w:rsid w:val="7DFDE5CD"/>
    <w:rsid w:val="7DFFC3EA"/>
    <w:rsid w:val="7E14458D"/>
    <w:rsid w:val="7E1F7A70"/>
    <w:rsid w:val="7E1FFAEC"/>
    <w:rsid w:val="7E392F50"/>
    <w:rsid w:val="7E3CFF25"/>
    <w:rsid w:val="7E3FE129"/>
    <w:rsid w:val="7E4403E3"/>
    <w:rsid w:val="7E49C3C2"/>
    <w:rsid w:val="7E552DB7"/>
    <w:rsid w:val="7E5B1FC9"/>
    <w:rsid w:val="7E5F9F96"/>
    <w:rsid w:val="7E5FBA95"/>
    <w:rsid w:val="7E610A91"/>
    <w:rsid w:val="7E6F613A"/>
    <w:rsid w:val="7E7F6982"/>
    <w:rsid w:val="7E837D82"/>
    <w:rsid w:val="7EAF73EC"/>
    <w:rsid w:val="7EB01EFA"/>
    <w:rsid w:val="7EB21DE0"/>
    <w:rsid w:val="7EB62B76"/>
    <w:rsid w:val="7EBA6F1A"/>
    <w:rsid w:val="7EBE0C96"/>
    <w:rsid w:val="7EBF5888"/>
    <w:rsid w:val="7EBFC564"/>
    <w:rsid w:val="7EC465FC"/>
    <w:rsid w:val="7ECFEEAD"/>
    <w:rsid w:val="7ED7552D"/>
    <w:rsid w:val="7EE3497E"/>
    <w:rsid w:val="7EEB1DE1"/>
    <w:rsid w:val="7EEBD868"/>
    <w:rsid w:val="7EEFB47D"/>
    <w:rsid w:val="7EF3FF94"/>
    <w:rsid w:val="7EF5974C"/>
    <w:rsid w:val="7EF70323"/>
    <w:rsid w:val="7EF7102E"/>
    <w:rsid w:val="7EF77BAB"/>
    <w:rsid w:val="7EFBA537"/>
    <w:rsid w:val="7EFD5D04"/>
    <w:rsid w:val="7EFFDB3A"/>
    <w:rsid w:val="7F094E03"/>
    <w:rsid w:val="7F120DED"/>
    <w:rsid w:val="7F196938"/>
    <w:rsid w:val="7F2B04C0"/>
    <w:rsid w:val="7F2B4F1C"/>
    <w:rsid w:val="7F378231"/>
    <w:rsid w:val="7F3814E9"/>
    <w:rsid w:val="7F3BCABF"/>
    <w:rsid w:val="7F3C2523"/>
    <w:rsid w:val="7F3FB7F2"/>
    <w:rsid w:val="7F3FD8D9"/>
    <w:rsid w:val="7F4476B7"/>
    <w:rsid w:val="7F4A60F7"/>
    <w:rsid w:val="7F4E89EB"/>
    <w:rsid w:val="7F571267"/>
    <w:rsid w:val="7F5B26EF"/>
    <w:rsid w:val="7F5F444D"/>
    <w:rsid w:val="7F66FC8D"/>
    <w:rsid w:val="7F6DDD29"/>
    <w:rsid w:val="7F6EC9C6"/>
    <w:rsid w:val="7F736048"/>
    <w:rsid w:val="7F7662DB"/>
    <w:rsid w:val="7F77B620"/>
    <w:rsid w:val="7F79C282"/>
    <w:rsid w:val="7F7B6CAE"/>
    <w:rsid w:val="7F7B7A0F"/>
    <w:rsid w:val="7F7B7D2D"/>
    <w:rsid w:val="7F7C76E3"/>
    <w:rsid w:val="7F7D7798"/>
    <w:rsid w:val="7F7DF0C0"/>
    <w:rsid w:val="7F7E8588"/>
    <w:rsid w:val="7F7F4F32"/>
    <w:rsid w:val="7F9002A9"/>
    <w:rsid w:val="7F9F5917"/>
    <w:rsid w:val="7F9F5B51"/>
    <w:rsid w:val="7FA94346"/>
    <w:rsid w:val="7FAC1E41"/>
    <w:rsid w:val="7FAD1292"/>
    <w:rsid w:val="7FB49D09"/>
    <w:rsid w:val="7FB55DBA"/>
    <w:rsid w:val="7FB7612A"/>
    <w:rsid w:val="7FBB27FB"/>
    <w:rsid w:val="7FBB6B3E"/>
    <w:rsid w:val="7FBE7F6C"/>
    <w:rsid w:val="7FBF6DD0"/>
    <w:rsid w:val="7FBF6E76"/>
    <w:rsid w:val="7FBF763E"/>
    <w:rsid w:val="7FC6164E"/>
    <w:rsid w:val="7FCD17FE"/>
    <w:rsid w:val="7FCD1AC1"/>
    <w:rsid w:val="7FCFAB21"/>
    <w:rsid w:val="7FCFAC9D"/>
    <w:rsid w:val="7FD71EE4"/>
    <w:rsid w:val="7FD7735D"/>
    <w:rsid w:val="7FD7E9A0"/>
    <w:rsid w:val="7FDA251B"/>
    <w:rsid w:val="7FDB706F"/>
    <w:rsid w:val="7FDBBCA2"/>
    <w:rsid w:val="7FDC6A1E"/>
    <w:rsid w:val="7FDDD1D1"/>
    <w:rsid w:val="7FDDE0A5"/>
    <w:rsid w:val="7FDF46BA"/>
    <w:rsid w:val="7FDFC015"/>
    <w:rsid w:val="7FDFD0E2"/>
    <w:rsid w:val="7FE37E59"/>
    <w:rsid w:val="7FE5B7E6"/>
    <w:rsid w:val="7FE649B7"/>
    <w:rsid w:val="7FE77536"/>
    <w:rsid w:val="7FE79CF0"/>
    <w:rsid w:val="7FE7ED7A"/>
    <w:rsid w:val="7FE7F345"/>
    <w:rsid w:val="7FE9FBB2"/>
    <w:rsid w:val="7FEB8B08"/>
    <w:rsid w:val="7FEE9BFE"/>
    <w:rsid w:val="7FEF5513"/>
    <w:rsid w:val="7FEFE5B1"/>
    <w:rsid w:val="7FF13E34"/>
    <w:rsid w:val="7FF1C106"/>
    <w:rsid w:val="7FF23219"/>
    <w:rsid w:val="7FF2F73C"/>
    <w:rsid w:val="7FF38A2E"/>
    <w:rsid w:val="7FF64053"/>
    <w:rsid w:val="7FF71A23"/>
    <w:rsid w:val="7FF75CC5"/>
    <w:rsid w:val="7FF7A65B"/>
    <w:rsid w:val="7FF7EC63"/>
    <w:rsid w:val="7FF8BC82"/>
    <w:rsid w:val="7FFA416D"/>
    <w:rsid w:val="7FFB18BE"/>
    <w:rsid w:val="7FFB2112"/>
    <w:rsid w:val="7FFB2FF3"/>
    <w:rsid w:val="7FFB3FEB"/>
    <w:rsid w:val="7FFCE03A"/>
    <w:rsid w:val="7FFD2D10"/>
    <w:rsid w:val="7FFD63A3"/>
    <w:rsid w:val="7FFD6F6F"/>
    <w:rsid w:val="7FFE115B"/>
    <w:rsid w:val="7FFE68BF"/>
    <w:rsid w:val="7FFE6E1F"/>
    <w:rsid w:val="7FFEB7AF"/>
    <w:rsid w:val="7FFED5CA"/>
    <w:rsid w:val="7FFEEEF9"/>
    <w:rsid w:val="7FFEF8D3"/>
    <w:rsid w:val="7FFEFB2F"/>
    <w:rsid w:val="7FFF021D"/>
    <w:rsid w:val="7FFF02ED"/>
    <w:rsid w:val="7FFF1477"/>
    <w:rsid w:val="7FFF1A68"/>
    <w:rsid w:val="7FFF1E0E"/>
    <w:rsid w:val="7FFF25D1"/>
    <w:rsid w:val="7FFF62B1"/>
    <w:rsid w:val="7FFF65D2"/>
    <w:rsid w:val="7FFF76AA"/>
    <w:rsid w:val="7FFF78DC"/>
    <w:rsid w:val="7FFF82E3"/>
    <w:rsid w:val="7FFF869E"/>
    <w:rsid w:val="7FFFB1DE"/>
    <w:rsid w:val="7FFFF5AB"/>
    <w:rsid w:val="8307105A"/>
    <w:rsid w:val="84AE6204"/>
    <w:rsid w:val="85E555A1"/>
    <w:rsid w:val="89BE1A46"/>
    <w:rsid w:val="8AF79D10"/>
    <w:rsid w:val="8D8F2D93"/>
    <w:rsid w:val="8DDF2B6B"/>
    <w:rsid w:val="8DFD4575"/>
    <w:rsid w:val="8EE4FC2C"/>
    <w:rsid w:val="8EEBDE32"/>
    <w:rsid w:val="8F7D023B"/>
    <w:rsid w:val="8FAA4BA2"/>
    <w:rsid w:val="8FB1A5FC"/>
    <w:rsid w:val="8FB68CEA"/>
    <w:rsid w:val="8FFFA67E"/>
    <w:rsid w:val="91FF4DFB"/>
    <w:rsid w:val="92F0777F"/>
    <w:rsid w:val="92FCE4F9"/>
    <w:rsid w:val="92FF72E5"/>
    <w:rsid w:val="93FF221D"/>
    <w:rsid w:val="97370AEC"/>
    <w:rsid w:val="976E9E60"/>
    <w:rsid w:val="977E0A53"/>
    <w:rsid w:val="979F94CE"/>
    <w:rsid w:val="9BABAE5B"/>
    <w:rsid w:val="9BBC9B52"/>
    <w:rsid w:val="9BCFA252"/>
    <w:rsid w:val="9BFF4A79"/>
    <w:rsid w:val="9D5E35E6"/>
    <w:rsid w:val="9D76B4E5"/>
    <w:rsid w:val="9DF304FE"/>
    <w:rsid w:val="9E7E79BF"/>
    <w:rsid w:val="9EEFA036"/>
    <w:rsid w:val="9EFD5B42"/>
    <w:rsid w:val="9F16DF7B"/>
    <w:rsid w:val="9F7D858F"/>
    <w:rsid w:val="9F7E4F82"/>
    <w:rsid w:val="9FA1C283"/>
    <w:rsid w:val="9FDD6945"/>
    <w:rsid w:val="9FDEAF49"/>
    <w:rsid w:val="9FF6A2C4"/>
    <w:rsid w:val="9FF8CD7C"/>
    <w:rsid w:val="9FFB90BA"/>
    <w:rsid w:val="9FFFA40D"/>
    <w:rsid w:val="A2EFF527"/>
    <w:rsid w:val="A36FA280"/>
    <w:rsid w:val="A46F7D75"/>
    <w:rsid w:val="A5FFB563"/>
    <w:rsid w:val="A69F16AB"/>
    <w:rsid w:val="A6FF6566"/>
    <w:rsid w:val="A6FFD604"/>
    <w:rsid w:val="A7DDF34B"/>
    <w:rsid w:val="A7FEBB6D"/>
    <w:rsid w:val="A89B9117"/>
    <w:rsid w:val="A97F623E"/>
    <w:rsid w:val="A9FE5A00"/>
    <w:rsid w:val="AB76637D"/>
    <w:rsid w:val="AB7ECA18"/>
    <w:rsid w:val="AB7F6371"/>
    <w:rsid w:val="ABB760B6"/>
    <w:rsid w:val="ABF7E86A"/>
    <w:rsid w:val="ABFF2240"/>
    <w:rsid w:val="AC74056E"/>
    <w:rsid w:val="ACF38B0F"/>
    <w:rsid w:val="ADAD89A5"/>
    <w:rsid w:val="ADD47A16"/>
    <w:rsid w:val="ADFB2AD7"/>
    <w:rsid w:val="AE67E366"/>
    <w:rsid w:val="AEDDC0A6"/>
    <w:rsid w:val="AEFF155F"/>
    <w:rsid w:val="AF0FDD8B"/>
    <w:rsid w:val="AF1B6D95"/>
    <w:rsid w:val="AF4F7D6B"/>
    <w:rsid w:val="AFB21854"/>
    <w:rsid w:val="AFBF8780"/>
    <w:rsid w:val="AFCF0E3B"/>
    <w:rsid w:val="AFEDE43F"/>
    <w:rsid w:val="AFEF302D"/>
    <w:rsid w:val="AFF11928"/>
    <w:rsid w:val="AFF7E022"/>
    <w:rsid w:val="AFFD339B"/>
    <w:rsid w:val="AFFF8FD6"/>
    <w:rsid w:val="B06B1AEC"/>
    <w:rsid w:val="B17D6B53"/>
    <w:rsid w:val="B18C232E"/>
    <w:rsid w:val="B1FE4ED5"/>
    <w:rsid w:val="B2DEFEC6"/>
    <w:rsid w:val="B2EFEF41"/>
    <w:rsid w:val="B35F6156"/>
    <w:rsid w:val="B3F7D366"/>
    <w:rsid w:val="B41F550D"/>
    <w:rsid w:val="B4AFB69D"/>
    <w:rsid w:val="B53F4C96"/>
    <w:rsid w:val="B55F9C21"/>
    <w:rsid w:val="B57DEDD3"/>
    <w:rsid w:val="B5C89C49"/>
    <w:rsid w:val="B5EE123B"/>
    <w:rsid w:val="B5FF41D5"/>
    <w:rsid w:val="B6753F69"/>
    <w:rsid w:val="B6AFB0C8"/>
    <w:rsid w:val="B77CD5B0"/>
    <w:rsid w:val="B7AFE64D"/>
    <w:rsid w:val="B7BF7FB1"/>
    <w:rsid w:val="B7BFE480"/>
    <w:rsid w:val="B7D3A83B"/>
    <w:rsid w:val="B7DD6D64"/>
    <w:rsid w:val="B7FF5C1D"/>
    <w:rsid w:val="B7FFDB49"/>
    <w:rsid w:val="B8F73CF8"/>
    <w:rsid w:val="B8FFE3F7"/>
    <w:rsid w:val="B9D0F81B"/>
    <w:rsid w:val="B9D5E7A2"/>
    <w:rsid w:val="BA7DFACE"/>
    <w:rsid w:val="BAA60C83"/>
    <w:rsid w:val="BAC4C3EB"/>
    <w:rsid w:val="BAEFBB52"/>
    <w:rsid w:val="BAFDF1FF"/>
    <w:rsid w:val="BB7DCEC7"/>
    <w:rsid w:val="BB9F9185"/>
    <w:rsid w:val="BBAE3147"/>
    <w:rsid w:val="BBD3352E"/>
    <w:rsid w:val="BBE7BE01"/>
    <w:rsid w:val="BCFF4D4A"/>
    <w:rsid w:val="BD46EC1B"/>
    <w:rsid w:val="BD77E711"/>
    <w:rsid w:val="BD7DCF70"/>
    <w:rsid w:val="BDB256C7"/>
    <w:rsid w:val="BDCFB977"/>
    <w:rsid w:val="BDD45D2C"/>
    <w:rsid w:val="BDD7B43D"/>
    <w:rsid w:val="BDD9AE97"/>
    <w:rsid w:val="BDDF7E3F"/>
    <w:rsid w:val="BDDFC286"/>
    <w:rsid w:val="BDE10C82"/>
    <w:rsid w:val="BDF39DE2"/>
    <w:rsid w:val="BDFB9A7A"/>
    <w:rsid w:val="BDFBCBB3"/>
    <w:rsid w:val="BDFD90D1"/>
    <w:rsid w:val="BDFF1C94"/>
    <w:rsid w:val="BDFFBC01"/>
    <w:rsid w:val="BE9D2187"/>
    <w:rsid w:val="BEBF13E0"/>
    <w:rsid w:val="BEDB2ECC"/>
    <w:rsid w:val="BEDFC224"/>
    <w:rsid w:val="BEEE0DA0"/>
    <w:rsid w:val="BEEFCB4B"/>
    <w:rsid w:val="BEFF5FBC"/>
    <w:rsid w:val="BEFFE0C1"/>
    <w:rsid w:val="BF1449C6"/>
    <w:rsid w:val="BF389E2E"/>
    <w:rsid w:val="BF3D478D"/>
    <w:rsid w:val="BF3EF69B"/>
    <w:rsid w:val="BF5FB051"/>
    <w:rsid w:val="BF6B7163"/>
    <w:rsid w:val="BF6BC8E2"/>
    <w:rsid w:val="BF7B51D0"/>
    <w:rsid w:val="BF7F2733"/>
    <w:rsid w:val="BF7F3107"/>
    <w:rsid w:val="BFA5C2A6"/>
    <w:rsid w:val="BFA5D12F"/>
    <w:rsid w:val="BFAD8054"/>
    <w:rsid w:val="BFAF6780"/>
    <w:rsid w:val="BFB702E7"/>
    <w:rsid w:val="BFB79A71"/>
    <w:rsid w:val="BFBB55B7"/>
    <w:rsid w:val="BFBEF0F1"/>
    <w:rsid w:val="BFBF992A"/>
    <w:rsid w:val="BFCFEB4F"/>
    <w:rsid w:val="BFDB669A"/>
    <w:rsid w:val="BFE6F841"/>
    <w:rsid w:val="BFE73F34"/>
    <w:rsid w:val="BFEF61B8"/>
    <w:rsid w:val="BFF6D55B"/>
    <w:rsid w:val="BFF7B210"/>
    <w:rsid w:val="BFFBFC8F"/>
    <w:rsid w:val="BFFD299A"/>
    <w:rsid w:val="BFFDC1F9"/>
    <w:rsid w:val="BFFDC7DC"/>
    <w:rsid w:val="BFFDEF1A"/>
    <w:rsid w:val="BFFF0F05"/>
    <w:rsid w:val="BFFF5F48"/>
    <w:rsid w:val="BFFFDD13"/>
    <w:rsid w:val="BFFFFE09"/>
    <w:rsid w:val="C3B7217E"/>
    <w:rsid w:val="C42F5AD5"/>
    <w:rsid w:val="C5AEF477"/>
    <w:rsid w:val="C65FEE7A"/>
    <w:rsid w:val="C767CFE0"/>
    <w:rsid w:val="C77FD281"/>
    <w:rsid w:val="C7BD48D7"/>
    <w:rsid w:val="C7F7E16B"/>
    <w:rsid w:val="C87F8696"/>
    <w:rsid w:val="C9FFC7AA"/>
    <w:rsid w:val="CAFFD847"/>
    <w:rsid w:val="CBDF8709"/>
    <w:rsid w:val="CBE77271"/>
    <w:rsid w:val="CCFFA63A"/>
    <w:rsid w:val="CCFFECC3"/>
    <w:rsid w:val="CDBBC481"/>
    <w:rsid w:val="CDF2938D"/>
    <w:rsid w:val="CE3BD25E"/>
    <w:rsid w:val="CE4F6272"/>
    <w:rsid w:val="CEFD6A2E"/>
    <w:rsid w:val="CF6EC00B"/>
    <w:rsid w:val="CF796E44"/>
    <w:rsid w:val="CF7BA826"/>
    <w:rsid w:val="CF7BC8E3"/>
    <w:rsid w:val="CF9F65C7"/>
    <w:rsid w:val="CFBEC659"/>
    <w:rsid w:val="CFDF58B3"/>
    <w:rsid w:val="CFEC7262"/>
    <w:rsid w:val="CFF717E1"/>
    <w:rsid w:val="CFF9BEF6"/>
    <w:rsid w:val="CFFEEDC7"/>
    <w:rsid w:val="CFFF5B20"/>
    <w:rsid w:val="CFFF982D"/>
    <w:rsid w:val="D1FAE4BC"/>
    <w:rsid w:val="D1FD7A6C"/>
    <w:rsid w:val="D29B673F"/>
    <w:rsid w:val="D2DF35AD"/>
    <w:rsid w:val="D36F1E2C"/>
    <w:rsid w:val="D3E500B6"/>
    <w:rsid w:val="D3EDF4F3"/>
    <w:rsid w:val="D4F64E3D"/>
    <w:rsid w:val="D4FEDA3A"/>
    <w:rsid w:val="D57BC952"/>
    <w:rsid w:val="D57BF6F4"/>
    <w:rsid w:val="D58FB316"/>
    <w:rsid w:val="D5BBAE96"/>
    <w:rsid w:val="D5DE8897"/>
    <w:rsid w:val="D5E7A04F"/>
    <w:rsid w:val="D5FFFA21"/>
    <w:rsid w:val="D65E1C25"/>
    <w:rsid w:val="D676A578"/>
    <w:rsid w:val="D6DE2190"/>
    <w:rsid w:val="D6DF8C8B"/>
    <w:rsid w:val="D7356C85"/>
    <w:rsid w:val="D75BD063"/>
    <w:rsid w:val="D769E491"/>
    <w:rsid w:val="D7758766"/>
    <w:rsid w:val="D7BC4244"/>
    <w:rsid w:val="D7CD09B8"/>
    <w:rsid w:val="D7D75747"/>
    <w:rsid w:val="D7E716FB"/>
    <w:rsid w:val="D7E795FE"/>
    <w:rsid w:val="D7F9EDFE"/>
    <w:rsid w:val="D7FE50CA"/>
    <w:rsid w:val="D7FF8FB2"/>
    <w:rsid w:val="D7FFBC0A"/>
    <w:rsid w:val="D93C6981"/>
    <w:rsid w:val="D95ED506"/>
    <w:rsid w:val="D9777C88"/>
    <w:rsid w:val="D9EAD176"/>
    <w:rsid w:val="DAEFF803"/>
    <w:rsid w:val="DAF75F10"/>
    <w:rsid w:val="DB373974"/>
    <w:rsid w:val="DB5F635A"/>
    <w:rsid w:val="DB6F9F99"/>
    <w:rsid w:val="DB7FE17E"/>
    <w:rsid w:val="DBAF3E20"/>
    <w:rsid w:val="DBBBABDC"/>
    <w:rsid w:val="DBE05ABB"/>
    <w:rsid w:val="DBF730F6"/>
    <w:rsid w:val="DBF74CB8"/>
    <w:rsid w:val="DBFC4614"/>
    <w:rsid w:val="DBFFE543"/>
    <w:rsid w:val="DC745D82"/>
    <w:rsid w:val="DC7BA333"/>
    <w:rsid w:val="DC7F78F1"/>
    <w:rsid w:val="DCD6ABD9"/>
    <w:rsid w:val="DCF3D028"/>
    <w:rsid w:val="DCFB65C4"/>
    <w:rsid w:val="DCFD0E4B"/>
    <w:rsid w:val="DCFDBAF9"/>
    <w:rsid w:val="DCFFF3FC"/>
    <w:rsid w:val="DD3F3C47"/>
    <w:rsid w:val="DD4737E3"/>
    <w:rsid w:val="DD51DCE1"/>
    <w:rsid w:val="DD7C5D3F"/>
    <w:rsid w:val="DD7D335A"/>
    <w:rsid w:val="DD7EE2A6"/>
    <w:rsid w:val="DDB70DF0"/>
    <w:rsid w:val="DDB769A3"/>
    <w:rsid w:val="DDDEA265"/>
    <w:rsid w:val="DDFF5E09"/>
    <w:rsid w:val="DE7E1BD9"/>
    <w:rsid w:val="DEAC4CFE"/>
    <w:rsid w:val="DEAD52CA"/>
    <w:rsid w:val="DEBD77B4"/>
    <w:rsid w:val="DEEE38D1"/>
    <w:rsid w:val="DEEF4938"/>
    <w:rsid w:val="DEEF8E8B"/>
    <w:rsid w:val="DEF6DD16"/>
    <w:rsid w:val="DEFBA998"/>
    <w:rsid w:val="DEFBF35D"/>
    <w:rsid w:val="DEFFBA68"/>
    <w:rsid w:val="DEFFFA70"/>
    <w:rsid w:val="DF1F3672"/>
    <w:rsid w:val="DF3F0CA3"/>
    <w:rsid w:val="DF47A12C"/>
    <w:rsid w:val="DF5FFB32"/>
    <w:rsid w:val="DF672674"/>
    <w:rsid w:val="DF6F24C5"/>
    <w:rsid w:val="DF7F2C6F"/>
    <w:rsid w:val="DF7F5065"/>
    <w:rsid w:val="DF968984"/>
    <w:rsid w:val="DF9E780D"/>
    <w:rsid w:val="DFA6E447"/>
    <w:rsid w:val="DFAB1E84"/>
    <w:rsid w:val="DFAF681B"/>
    <w:rsid w:val="DFB723E7"/>
    <w:rsid w:val="DFBFC0E6"/>
    <w:rsid w:val="DFCF9C5B"/>
    <w:rsid w:val="DFD3C6E5"/>
    <w:rsid w:val="DFDF5F97"/>
    <w:rsid w:val="DFE6DA77"/>
    <w:rsid w:val="DFE70C68"/>
    <w:rsid w:val="DFE765FB"/>
    <w:rsid w:val="DFEB4982"/>
    <w:rsid w:val="DFF360F6"/>
    <w:rsid w:val="DFF37C68"/>
    <w:rsid w:val="DFF4CC59"/>
    <w:rsid w:val="DFF71364"/>
    <w:rsid w:val="DFF73D00"/>
    <w:rsid w:val="DFFAE9AC"/>
    <w:rsid w:val="DFFB4519"/>
    <w:rsid w:val="DFFEBFF1"/>
    <w:rsid w:val="DFFEF263"/>
    <w:rsid w:val="DFFF796D"/>
    <w:rsid w:val="DFFFA1F0"/>
    <w:rsid w:val="E1BF3281"/>
    <w:rsid w:val="E2F69BA3"/>
    <w:rsid w:val="E373ACB4"/>
    <w:rsid w:val="E3BD4E6C"/>
    <w:rsid w:val="E3F74E31"/>
    <w:rsid w:val="E3FE731E"/>
    <w:rsid w:val="E4B681FF"/>
    <w:rsid w:val="E4FEFD08"/>
    <w:rsid w:val="E4FFA7E9"/>
    <w:rsid w:val="E56FE68A"/>
    <w:rsid w:val="E5BBB4BD"/>
    <w:rsid w:val="E6BC6C89"/>
    <w:rsid w:val="E6FD465C"/>
    <w:rsid w:val="E777F1FE"/>
    <w:rsid w:val="E79FC16B"/>
    <w:rsid w:val="E7E60804"/>
    <w:rsid w:val="E7E81BB9"/>
    <w:rsid w:val="E7F46EA4"/>
    <w:rsid w:val="E7F4AE8E"/>
    <w:rsid w:val="E7FE3684"/>
    <w:rsid w:val="E7FF9AC3"/>
    <w:rsid w:val="E7FF9B4A"/>
    <w:rsid w:val="E8FFB558"/>
    <w:rsid w:val="E9DFA33A"/>
    <w:rsid w:val="E9F5EDC6"/>
    <w:rsid w:val="EAF54EA5"/>
    <w:rsid w:val="EAFE1036"/>
    <w:rsid w:val="EB3B157F"/>
    <w:rsid w:val="EB6F94C7"/>
    <w:rsid w:val="EB75A0DB"/>
    <w:rsid w:val="EB8B950B"/>
    <w:rsid w:val="EB8F918C"/>
    <w:rsid w:val="EB9E5E6C"/>
    <w:rsid w:val="EBB67D3D"/>
    <w:rsid w:val="EBB721A1"/>
    <w:rsid w:val="EBBF22EA"/>
    <w:rsid w:val="EBBF51E1"/>
    <w:rsid w:val="EBEDC091"/>
    <w:rsid w:val="EBF78E4D"/>
    <w:rsid w:val="EBFB21D1"/>
    <w:rsid w:val="EBFDA152"/>
    <w:rsid w:val="EBFDBA7F"/>
    <w:rsid w:val="EC427ACF"/>
    <w:rsid w:val="ECB9EA4D"/>
    <w:rsid w:val="ECFEAF24"/>
    <w:rsid w:val="ECFF7AEE"/>
    <w:rsid w:val="ED3FF915"/>
    <w:rsid w:val="EDEC0089"/>
    <w:rsid w:val="EDF696BB"/>
    <w:rsid w:val="EDFBFED2"/>
    <w:rsid w:val="EDFE68D7"/>
    <w:rsid w:val="EDFF4984"/>
    <w:rsid w:val="EDFFF4BD"/>
    <w:rsid w:val="EE57FB12"/>
    <w:rsid w:val="EE791420"/>
    <w:rsid w:val="EE797481"/>
    <w:rsid w:val="EE7BD883"/>
    <w:rsid w:val="EE7D1C42"/>
    <w:rsid w:val="EE7F0E52"/>
    <w:rsid w:val="EEAF5ED3"/>
    <w:rsid w:val="EEB777EF"/>
    <w:rsid w:val="EEB7D649"/>
    <w:rsid w:val="EEDD51B9"/>
    <w:rsid w:val="EEDF6590"/>
    <w:rsid w:val="EEEF15A9"/>
    <w:rsid w:val="EEF75A92"/>
    <w:rsid w:val="EEFF44F6"/>
    <w:rsid w:val="EEFFF8EC"/>
    <w:rsid w:val="EF17E8FB"/>
    <w:rsid w:val="EF33EE74"/>
    <w:rsid w:val="EF5E01C7"/>
    <w:rsid w:val="EF6F7DFF"/>
    <w:rsid w:val="EF6FEC84"/>
    <w:rsid w:val="EF7F8A09"/>
    <w:rsid w:val="EF7FF622"/>
    <w:rsid w:val="EF8772A4"/>
    <w:rsid w:val="EFB7B262"/>
    <w:rsid w:val="EFBF654A"/>
    <w:rsid w:val="EFC25DF5"/>
    <w:rsid w:val="EFC66527"/>
    <w:rsid w:val="EFCF23D5"/>
    <w:rsid w:val="EFD43322"/>
    <w:rsid w:val="EFDA8566"/>
    <w:rsid w:val="EFDF61B7"/>
    <w:rsid w:val="EFE60B3C"/>
    <w:rsid w:val="EFEA2F79"/>
    <w:rsid w:val="EFEE0940"/>
    <w:rsid w:val="EFEF4493"/>
    <w:rsid w:val="EFEFFEC8"/>
    <w:rsid w:val="EFF9B5C0"/>
    <w:rsid w:val="EFFB47CD"/>
    <w:rsid w:val="EFFBC17B"/>
    <w:rsid w:val="EFFBD9A3"/>
    <w:rsid w:val="EFFC8775"/>
    <w:rsid w:val="EFFD5DFB"/>
    <w:rsid w:val="EFFEABAD"/>
    <w:rsid w:val="EFFF495E"/>
    <w:rsid w:val="EFFF67DF"/>
    <w:rsid w:val="EFFF70E4"/>
    <w:rsid w:val="EFFF9751"/>
    <w:rsid w:val="EFFFE467"/>
    <w:rsid w:val="F069CBA2"/>
    <w:rsid w:val="F0E74468"/>
    <w:rsid w:val="F11F1F1A"/>
    <w:rsid w:val="F17913C3"/>
    <w:rsid w:val="F1F5C849"/>
    <w:rsid w:val="F1FAA5B2"/>
    <w:rsid w:val="F1FFB367"/>
    <w:rsid w:val="F1FFFD29"/>
    <w:rsid w:val="F27E6A30"/>
    <w:rsid w:val="F2CECD37"/>
    <w:rsid w:val="F2CF0D84"/>
    <w:rsid w:val="F2CF76E5"/>
    <w:rsid w:val="F2E68C3E"/>
    <w:rsid w:val="F2E7B6AB"/>
    <w:rsid w:val="F2FE1BD4"/>
    <w:rsid w:val="F36C5DAC"/>
    <w:rsid w:val="F3BA1995"/>
    <w:rsid w:val="F3CDE7D2"/>
    <w:rsid w:val="F3DFA3DD"/>
    <w:rsid w:val="F3EE61A7"/>
    <w:rsid w:val="F3F6FDE9"/>
    <w:rsid w:val="F3F89A90"/>
    <w:rsid w:val="F48EE570"/>
    <w:rsid w:val="F4F31F0F"/>
    <w:rsid w:val="F4FF5D44"/>
    <w:rsid w:val="F50ADF92"/>
    <w:rsid w:val="F5384B7C"/>
    <w:rsid w:val="F55ED591"/>
    <w:rsid w:val="F58FB700"/>
    <w:rsid w:val="F5AEF6F2"/>
    <w:rsid w:val="F5D4A574"/>
    <w:rsid w:val="F5F978E8"/>
    <w:rsid w:val="F5FF6A03"/>
    <w:rsid w:val="F5FFB004"/>
    <w:rsid w:val="F698D006"/>
    <w:rsid w:val="F6AF65F5"/>
    <w:rsid w:val="F6BECD28"/>
    <w:rsid w:val="F6EF1652"/>
    <w:rsid w:val="F6EF2C9A"/>
    <w:rsid w:val="F6F525AD"/>
    <w:rsid w:val="F6F5C01C"/>
    <w:rsid w:val="F6FB645E"/>
    <w:rsid w:val="F75C44DA"/>
    <w:rsid w:val="F76E2E59"/>
    <w:rsid w:val="F7AB2482"/>
    <w:rsid w:val="F7AEF390"/>
    <w:rsid w:val="F7AF34F2"/>
    <w:rsid w:val="F7B72C68"/>
    <w:rsid w:val="F7BF0AF0"/>
    <w:rsid w:val="F7CB0A74"/>
    <w:rsid w:val="F7D7FB65"/>
    <w:rsid w:val="F7DBC46B"/>
    <w:rsid w:val="F7DE2A7D"/>
    <w:rsid w:val="F7DF9220"/>
    <w:rsid w:val="F7E31639"/>
    <w:rsid w:val="F7E9A052"/>
    <w:rsid w:val="F7EEC240"/>
    <w:rsid w:val="F7F7AD98"/>
    <w:rsid w:val="F7F7B131"/>
    <w:rsid w:val="F7FB75AF"/>
    <w:rsid w:val="F7FBA99D"/>
    <w:rsid w:val="F7FD4CAA"/>
    <w:rsid w:val="F7FDD4CF"/>
    <w:rsid w:val="F7FF0654"/>
    <w:rsid w:val="F7FF6831"/>
    <w:rsid w:val="F7FF7D9E"/>
    <w:rsid w:val="F7FFCB46"/>
    <w:rsid w:val="F8FAEABF"/>
    <w:rsid w:val="F8FB3634"/>
    <w:rsid w:val="F937FC3F"/>
    <w:rsid w:val="F93C09DC"/>
    <w:rsid w:val="F96F3C45"/>
    <w:rsid w:val="F9D88A5D"/>
    <w:rsid w:val="F9EEB23C"/>
    <w:rsid w:val="F9F90E96"/>
    <w:rsid w:val="F9FAF831"/>
    <w:rsid w:val="F9FC1489"/>
    <w:rsid w:val="F9FF2C83"/>
    <w:rsid w:val="F9FFA93D"/>
    <w:rsid w:val="FA4FBE28"/>
    <w:rsid w:val="FA553DB6"/>
    <w:rsid w:val="FA7A0ABE"/>
    <w:rsid w:val="FA7A0FEE"/>
    <w:rsid w:val="FA7E5993"/>
    <w:rsid w:val="FA7F4EAA"/>
    <w:rsid w:val="FA7FAED9"/>
    <w:rsid w:val="FAAB540A"/>
    <w:rsid w:val="FADF5366"/>
    <w:rsid w:val="FAE569C8"/>
    <w:rsid w:val="FAE76B80"/>
    <w:rsid w:val="FAEE4F3D"/>
    <w:rsid w:val="FAEEDC55"/>
    <w:rsid w:val="FAEEF220"/>
    <w:rsid w:val="FAF4767B"/>
    <w:rsid w:val="FAF51F67"/>
    <w:rsid w:val="FAFF3810"/>
    <w:rsid w:val="FB2DB5EA"/>
    <w:rsid w:val="FB368A01"/>
    <w:rsid w:val="FB3F811B"/>
    <w:rsid w:val="FB5D5E32"/>
    <w:rsid w:val="FB7DEC29"/>
    <w:rsid w:val="FB7F4762"/>
    <w:rsid w:val="FB7F4A4A"/>
    <w:rsid w:val="FB7FED5F"/>
    <w:rsid w:val="FB9C3591"/>
    <w:rsid w:val="FBA6D904"/>
    <w:rsid w:val="FBAB7314"/>
    <w:rsid w:val="FBB76BD9"/>
    <w:rsid w:val="FBBD5D79"/>
    <w:rsid w:val="FBBEE47A"/>
    <w:rsid w:val="FBBF9368"/>
    <w:rsid w:val="FBBFF831"/>
    <w:rsid w:val="FBD61967"/>
    <w:rsid w:val="FBD62B8E"/>
    <w:rsid w:val="FBD74453"/>
    <w:rsid w:val="FBDEC1D8"/>
    <w:rsid w:val="FBE7F221"/>
    <w:rsid w:val="FBE9388A"/>
    <w:rsid w:val="FBEDA0EA"/>
    <w:rsid w:val="FBEDDBAE"/>
    <w:rsid w:val="FBF75102"/>
    <w:rsid w:val="FBFD3586"/>
    <w:rsid w:val="FBFF1206"/>
    <w:rsid w:val="FBFF544E"/>
    <w:rsid w:val="FBFFF4FA"/>
    <w:rsid w:val="FC7FC40C"/>
    <w:rsid w:val="FC9D23AB"/>
    <w:rsid w:val="FCC3526E"/>
    <w:rsid w:val="FCD7946B"/>
    <w:rsid w:val="FCDD90EC"/>
    <w:rsid w:val="FCDF2CCA"/>
    <w:rsid w:val="FCE9368E"/>
    <w:rsid w:val="FCEA279B"/>
    <w:rsid w:val="FCEF9AB1"/>
    <w:rsid w:val="FCFD9875"/>
    <w:rsid w:val="FCFDAA5B"/>
    <w:rsid w:val="FCFDC991"/>
    <w:rsid w:val="FCFDF035"/>
    <w:rsid w:val="FCFE5044"/>
    <w:rsid w:val="FCFFA5C2"/>
    <w:rsid w:val="FD07DD0F"/>
    <w:rsid w:val="FD7B2130"/>
    <w:rsid w:val="FD7B4ACD"/>
    <w:rsid w:val="FD7F9B27"/>
    <w:rsid w:val="FD8E2BFB"/>
    <w:rsid w:val="FD96EAA2"/>
    <w:rsid w:val="FD9EC05C"/>
    <w:rsid w:val="FD9FEFA3"/>
    <w:rsid w:val="FDAD39E3"/>
    <w:rsid w:val="FDB5D975"/>
    <w:rsid w:val="FDBB68AE"/>
    <w:rsid w:val="FDBDA65E"/>
    <w:rsid w:val="FDBF1C41"/>
    <w:rsid w:val="FDBFBFFF"/>
    <w:rsid w:val="FDDC5620"/>
    <w:rsid w:val="FDDF606C"/>
    <w:rsid w:val="FDDF622D"/>
    <w:rsid w:val="FDDFE326"/>
    <w:rsid w:val="FDE7CB42"/>
    <w:rsid w:val="FDEA4EE0"/>
    <w:rsid w:val="FDEA700A"/>
    <w:rsid w:val="FDED152F"/>
    <w:rsid w:val="FDEF45F8"/>
    <w:rsid w:val="FDEF5BCF"/>
    <w:rsid w:val="FDF3C14A"/>
    <w:rsid w:val="FDF58847"/>
    <w:rsid w:val="FDF66194"/>
    <w:rsid w:val="FDF7BDBE"/>
    <w:rsid w:val="FDF7C0D5"/>
    <w:rsid w:val="FDF95B71"/>
    <w:rsid w:val="FDF96EB8"/>
    <w:rsid w:val="FDFAC40C"/>
    <w:rsid w:val="FDFB35E3"/>
    <w:rsid w:val="FDFB9B63"/>
    <w:rsid w:val="FDFCC4EA"/>
    <w:rsid w:val="FDFD1BF0"/>
    <w:rsid w:val="FDFDD45B"/>
    <w:rsid w:val="FDFEAF5E"/>
    <w:rsid w:val="FDFEE9A6"/>
    <w:rsid w:val="FDFEF635"/>
    <w:rsid w:val="FDFF28B9"/>
    <w:rsid w:val="FDFF9EB1"/>
    <w:rsid w:val="FDFFE3B5"/>
    <w:rsid w:val="FDFFFED8"/>
    <w:rsid w:val="FE5E3C67"/>
    <w:rsid w:val="FE72EE5A"/>
    <w:rsid w:val="FE771950"/>
    <w:rsid w:val="FE7BB972"/>
    <w:rsid w:val="FE7F484A"/>
    <w:rsid w:val="FE7FC3B6"/>
    <w:rsid w:val="FE8F6861"/>
    <w:rsid w:val="FE9DBB1F"/>
    <w:rsid w:val="FE9FA6BF"/>
    <w:rsid w:val="FEAA41CB"/>
    <w:rsid w:val="FEAF9E8D"/>
    <w:rsid w:val="FEBD7A9A"/>
    <w:rsid w:val="FEBFAAEA"/>
    <w:rsid w:val="FECD7AF7"/>
    <w:rsid w:val="FECE2819"/>
    <w:rsid w:val="FECFCB88"/>
    <w:rsid w:val="FED775FC"/>
    <w:rsid w:val="FEDE87BE"/>
    <w:rsid w:val="FEDFB3CD"/>
    <w:rsid w:val="FEED030B"/>
    <w:rsid w:val="FEEF39E8"/>
    <w:rsid w:val="FEF216E2"/>
    <w:rsid w:val="FEF3010E"/>
    <w:rsid w:val="FEF6746F"/>
    <w:rsid w:val="FEFAD37F"/>
    <w:rsid w:val="FEFC2303"/>
    <w:rsid w:val="FEFD49BC"/>
    <w:rsid w:val="FEFF3DF1"/>
    <w:rsid w:val="FEFFA84F"/>
    <w:rsid w:val="FEFFD352"/>
    <w:rsid w:val="FF1BE49D"/>
    <w:rsid w:val="FF2D5CEF"/>
    <w:rsid w:val="FF361E96"/>
    <w:rsid w:val="FF3F220D"/>
    <w:rsid w:val="FF3F5C86"/>
    <w:rsid w:val="FF3FDE17"/>
    <w:rsid w:val="FF4E3ACA"/>
    <w:rsid w:val="FF4EEABD"/>
    <w:rsid w:val="FF5FBF48"/>
    <w:rsid w:val="FF67DB8E"/>
    <w:rsid w:val="FF6F6343"/>
    <w:rsid w:val="FF7188A7"/>
    <w:rsid w:val="FF77B4C1"/>
    <w:rsid w:val="FF7B04E7"/>
    <w:rsid w:val="FF7B96D3"/>
    <w:rsid w:val="FF7C5933"/>
    <w:rsid w:val="FF7E6927"/>
    <w:rsid w:val="FF7EA418"/>
    <w:rsid w:val="FF7EC472"/>
    <w:rsid w:val="FF7EEF71"/>
    <w:rsid w:val="FF949614"/>
    <w:rsid w:val="FF9DCB0D"/>
    <w:rsid w:val="FF9E26E4"/>
    <w:rsid w:val="FF9FF41E"/>
    <w:rsid w:val="FF9FFC52"/>
    <w:rsid w:val="FFA44204"/>
    <w:rsid w:val="FFA76FD7"/>
    <w:rsid w:val="FFA7DB6B"/>
    <w:rsid w:val="FFAB7CFA"/>
    <w:rsid w:val="FFB5108C"/>
    <w:rsid w:val="FFB775A8"/>
    <w:rsid w:val="FFB978D4"/>
    <w:rsid w:val="FFBA09B0"/>
    <w:rsid w:val="FFBABD66"/>
    <w:rsid w:val="FFBDF17E"/>
    <w:rsid w:val="FFBEAFC7"/>
    <w:rsid w:val="FFBED655"/>
    <w:rsid w:val="FFBF3990"/>
    <w:rsid w:val="FFBF6F85"/>
    <w:rsid w:val="FFBF717B"/>
    <w:rsid w:val="FFBF9D7F"/>
    <w:rsid w:val="FFBFB4D2"/>
    <w:rsid w:val="FFBFCE42"/>
    <w:rsid w:val="FFBFD93C"/>
    <w:rsid w:val="FFCB9588"/>
    <w:rsid w:val="FFCDA780"/>
    <w:rsid w:val="FFD1F655"/>
    <w:rsid w:val="FFD68D04"/>
    <w:rsid w:val="FFD7A8EB"/>
    <w:rsid w:val="FFD99B65"/>
    <w:rsid w:val="FFDD79BF"/>
    <w:rsid w:val="FFDEB11C"/>
    <w:rsid w:val="FFDEE42C"/>
    <w:rsid w:val="FFDF0EFF"/>
    <w:rsid w:val="FFDF64F0"/>
    <w:rsid w:val="FFE77FB8"/>
    <w:rsid w:val="FFEB1B78"/>
    <w:rsid w:val="FFEB2E91"/>
    <w:rsid w:val="FFEB3CD1"/>
    <w:rsid w:val="FFEDB635"/>
    <w:rsid w:val="FFEDC46B"/>
    <w:rsid w:val="FFEEE9F9"/>
    <w:rsid w:val="FFEF31CD"/>
    <w:rsid w:val="FFEF5042"/>
    <w:rsid w:val="FFEF5082"/>
    <w:rsid w:val="FFEF7D53"/>
    <w:rsid w:val="FFEF9319"/>
    <w:rsid w:val="FFEFD6BD"/>
    <w:rsid w:val="FFF53873"/>
    <w:rsid w:val="FFF554AC"/>
    <w:rsid w:val="FFF57D36"/>
    <w:rsid w:val="FFF57DED"/>
    <w:rsid w:val="FFF63A40"/>
    <w:rsid w:val="FFF70D16"/>
    <w:rsid w:val="FFF7297C"/>
    <w:rsid w:val="FFF7BA44"/>
    <w:rsid w:val="FFF7C6CE"/>
    <w:rsid w:val="FFF9E3D4"/>
    <w:rsid w:val="FFFB01C8"/>
    <w:rsid w:val="FFFC93D4"/>
    <w:rsid w:val="FFFE100C"/>
    <w:rsid w:val="FFFE3D91"/>
    <w:rsid w:val="FFFF20FD"/>
    <w:rsid w:val="FFFF27C6"/>
    <w:rsid w:val="FFFF52C6"/>
    <w:rsid w:val="FFFF91F2"/>
    <w:rsid w:val="FFFF96CA"/>
    <w:rsid w:val="FFFFB0C7"/>
    <w:rsid w:val="FFFFBFF2"/>
    <w:rsid w:val="FFFFC0DE"/>
    <w:rsid w:val="FFFFEE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60" w:after="220"/>
      <w:ind w:firstLine="0" w:firstLineChars="0"/>
      <w:jc w:val="center"/>
      <w:outlineLvl w:val="0"/>
    </w:pPr>
    <w:rPr>
      <w:kern w:val="44"/>
      <w:sz w:val="28"/>
    </w:rPr>
  </w:style>
  <w:style w:type="paragraph" w:styleId="3">
    <w:name w:val="heading 2"/>
    <w:basedOn w:val="1"/>
    <w:next w:val="1"/>
    <w:unhideWhenUsed/>
    <w:qFormat/>
    <w:uiPriority w:val="0"/>
    <w:pPr>
      <w:keepNext/>
      <w:keepLines/>
      <w:spacing w:before="260" w:after="200"/>
      <w:outlineLvl w:val="1"/>
    </w:pPr>
    <w:rPr>
      <w:rFonts w:ascii="Arial" w:hAnsi="Arial"/>
      <w:b/>
      <w:sz w:val="32"/>
    </w:rPr>
  </w:style>
  <w:style w:type="paragraph" w:styleId="4">
    <w:name w:val="heading 3"/>
    <w:basedOn w:val="1"/>
    <w:next w:val="1"/>
    <w:unhideWhenUsed/>
    <w:qFormat/>
    <w:uiPriority w:val="0"/>
    <w:pPr>
      <w:keepNext/>
      <w:keepLines/>
      <w:ind w:firstLine="200"/>
      <w:outlineLvl w:val="2"/>
    </w:pPr>
  </w:style>
  <w:style w:type="paragraph" w:styleId="5">
    <w:name w:val="heading 4"/>
    <w:basedOn w:val="1"/>
    <w:next w:val="1"/>
    <w:unhideWhenUsed/>
    <w:qFormat/>
    <w:uiPriority w:val="0"/>
    <w:pPr>
      <w:keepNext/>
      <w:keepLines/>
      <w:spacing w:before="240" w:after="160"/>
      <w:jc w:val="center"/>
      <w:outlineLvl w:val="3"/>
    </w:pPr>
    <w:rPr>
      <w:rFonts w:eastAsia="黑体"/>
      <w:sz w:val="18"/>
    </w:rPr>
  </w:style>
  <w:style w:type="paragraph" w:styleId="6">
    <w:name w:val="heading 5"/>
    <w:basedOn w:val="1"/>
    <w:next w:val="1"/>
    <w:unhideWhenUsed/>
    <w:qFormat/>
    <w:uiPriority w:val="0"/>
    <w:pPr>
      <w:keepNext/>
      <w:keepLines/>
      <w:spacing w:before="240" w:after="160"/>
      <w:outlineLvl w:val="4"/>
    </w:pPr>
    <w:rPr>
      <w:rFonts w:ascii="Arial" w:hAnsi="Arial"/>
      <w:b/>
      <w:sz w:val="28"/>
    </w:rPr>
  </w:style>
  <w:style w:type="paragraph" w:styleId="7">
    <w:name w:val="heading 6"/>
    <w:basedOn w:val="1"/>
    <w:next w:val="1"/>
    <w:unhideWhenUsed/>
    <w:qFormat/>
    <w:uiPriority w:val="0"/>
    <w:pPr>
      <w:keepNext/>
      <w:keepLines/>
      <w:spacing w:before="240" w:after="120"/>
      <w:outlineLvl w:val="5"/>
    </w:pPr>
    <w:rPr>
      <w:rFonts w:ascii="Arial" w:hAnsi="Arial"/>
      <w:b/>
      <w:sz w:val="24"/>
    </w:rPr>
  </w:style>
  <w:style w:type="paragraph" w:styleId="8">
    <w:name w:val="heading 7"/>
    <w:basedOn w:val="1"/>
    <w:next w:val="1"/>
    <w:unhideWhenUsed/>
    <w:qFormat/>
    <w:uiPriority w:val="0"/>
    <w:pPr>
      <w:keepNext/>
      <w:keepLines/>
      <w:spacing w:before="240" w:after="120"/>
      <w:outlineLvl w:val="6"/>
    </w:pPr>
    <w:rPr>
      <w:rFonts w:ascii="Arial" w:hAnsi="Arial"/>
      <w:b/>
      <w:sz w:val="24"/>
    </w:rPr>
  </w:style>
  <w:style w:type="paragraph" w:styleId="9">
    <w:name w:val="heading 8"/>
    <w:basedOn w:val="1"/>
    <w:next w:val="1"/>
    <w:unhideWhenUsed/>
    <w:qFormat/>
    <w:uiPriority w:val="0"/>
    <w:pPr>
      <w:keepNext/>
      <w:keepLines/>
      <w:spacing w:before="180" w:after="64"/>
      <w:outlineLvl w:val="7"/>
    </w:pPr>
    <w:rPr>
      <w:rFonts w:ascii="Arial" w:hAnsi="Arial"/>
      <w:sz w:val="24"/>
    </w:rPr>
  </w:style>
  <w:style w:type="paragraph" w:styleId="10">
    <w:name w:val="heading 9"/>
    <w:basedOn w:val="1"/>
    <w:next w:val="1"/>
    <w:unhideWhenUsed/>
    <w:qFormat/>
    <w:uiPriority w:val="0"/>
    <w:pPr>
      <w:keepNext/>
      <w:keepLines/>
      <w:spacing w:before="180" w:after="64"/>
      <w:jc w:val="left"/>
      <w:outlineLvl w:val="8"/>
    </w:pPr>
    <w:rPr>
      <w:sz w:val="1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9"/>
    <w:qFormat/>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42"/>
    <w:qFormat/>
    <w:uiPriority w:val="0"/>
    <w:pPr>
      <w:spacing w:before="240" w:after="60" w:line="312" w:lineRule="auto"/>
      <w:jc w:val="left"/>
      <w:outlineLvl w:val="1"/>
    </w:pPr>
    <w:rPr>
      <w:rFonts w:cstheme="minorBidi"/>
      <w:bCs/>
      <w:kern w:val="28"/>
      <w:sz w:val="18"/>
      <w:szCs w:val="32"/>
    </w:rPr>
  </w:style>
  <w:style w:type="paragraph" w:styleId="15">
    <w:name w:val="footnote text"/>
    <w:basedOn w:val="1"/>
    <w:link w:val="27"/>
    <w:qFormat/>
    <w:uiPriority w:val="0"/>
    <w:pPr>
      <w:snapToGrid w:val="0"/>
      <w:jc w:val="left"/>
    </w:pPr>
    <w:rPr>
      <w:sz w:val="18"/>
      <w:szCs w:val="18"/>
    </w:rPr>
  </w:style>
  <w:style w:type="paragraph" w:styleId="16">
    <w:name w:val="Title"/>
    <w:basedOn w:val="1"/>
    <w:next w:val="1"/>
    <w:link w:val="28"/>
    <w:qFormat/>
    <w:uiPriority w:val="0"/>
    <w:pPr>
      <w:spacing w:before="240" w:after="60"/>
      <w:ind w:firstLine="640" w:firstLineChars="0"/>
      <w:jc w:val="center"/>
      <w:outlineLvl w:val="0"/>
    </w:pPr>
    <w:rPr>
      <w:rFonts w:cstheme="majorBidi"/>
      <w:bCs/>
      <w:sz w:val="32"/>
      <w:szCs w:val="32"/>
    </w:rPr>
  </w:style>
  <w:style w:type="paragraph" w:styleId="17">
    <w:name w:val="annotation subject"/>
    <w:basedOn w:val="11"/>
    <w:next w:val="11"/>
    <w:link w:val="30"/>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character" w:styleId="23">
    <w:name w:val="footnote reference"/>
    <w:basedOn w:val="20"/>
    <w:qFormat/>
    <w:uiPriority w:val="0"/>
    <w:rPr>
      <w:vertAlign w:val="superscript"/>
    </w:rPr>
  </w:style>
  <w:style w:type="paragraph" w:customStyle="1" w:styleId="24">
    <w:name w:val="Body text|2"/>
    <w:basedOn w:val="1"/>
    <w:qFormat/>
    <w:uiPriority w:val="0"/>
    <w:pPr>
      <w:spacing w:after="260"/>
      <w:ind w:firstLine="700"/>
    </w:pPr>
  </w:style>
  <w:style w:type="paragraph" w:customStyle="1" w:styleId="25">
    <w:name w:val="Body text|1"/>
    <w:basedOn w:val="1"/>
    <w:qFormat/>
    <w:uiPriority w:val="0"/>
    <w:pPr>
      <w:spacing w:line="252" w:lineRule="auto"/>
      <w:ind w:firstLine="220"/>
    </w:pPr>
    <w:rPr>
      <w:sz w:val="20"/>
      <w:szCs w:val="20"/>
    </w:rPr>
  </w:style>
  <w:style w:type="paragraph" w:customStyle="1" w:styleId="26">
    <w:name w:val="Revision"/>
    <w:hidden/>
    <w:semiHidden/>
    <w:qFormat/>
    <w:uiPriority w:val="99"/>
    <w:rPr>
      <w:rFonts w:ascii="Arial" w:hAnsi="Arial" w:eastAsia="微软雅黑" w:cs="Times New Roman"/>
      <w:kern w:val="2"/>
      <w:sz w:val="21"/>
      <w:szCs w:val="24"/>
      <w:lang w:val="en-US" w:eastAsia="zh-CN" w:bidi="ar-SA"/>
    </w:rPr>
  </w:style>
  <w:style w:type="character" w:customStyle="1" w:styleId="27">
    <w:name w:val="脚注文本 字符"/>
    <w:basedOn w:val="20"/>
    <w:link w:val="15"/>
    <w:qFormat/>
    <w:uiPriority w:val="0"/>
    <w:rPr>
      <w:rFonts w:ascii="Arial" w:hAnsi="Arial" w:eastAsia="微软雅黑"/>
      <w:kern w:val="2"/>
      <w:sz w:val="18"/>
      <w:szCs w:val="18"/>
    </w:rPr>
  </w:style>
  <w:style w:type="character" w:customStyle="1" w:styleId="28">
    <w:name w:val="标题 字符"/>
    <w:basedOn w:val="20"/>
    <w:link w:val="16"/>
    <w:qFormat/>
    <w:uiPriority w:val="0"/>
    <w:rPr>
      <w:rFonts w:cstheme="majorBidi"/>
      <w:bCs/>
      <w:kern w:val="2"/>
      <w:sz w:val="32"/>
      <w:szCs w:val="32"/>
    </w:rPr>
  </w:style>
  <w:style w:type="character" w:customStyle="1" w:styleId="29">
    <w:name w:val="批注文字 字符"/>
    <w:basedOn w:val="20"/>
    <w:link w:val="11"/>
    <w:qFormat/>
    <w:uiPriority w:val="0"/>
    <w:rPr>
      <w:rFonts w:ascii="Arial" w:hAnsi="Arial" w:eastAsia="微软雅黑"/>
      <w:kern w:val="2"/>
      <w:sz w:val="21"/>
      <w:szCs w:val="24"/>
    </w:rPr>
  </w:style>
  <w:style w:type="character" w:customStyle="1" w:styleId="30">
    <w:name w:val="批注主题 字符"/>
    <w:basedOn w:val="29"/>
    <w:link w:val="17"/>
    <w:qFormat/>
    <w:uiPriority w:val="0"/>
    <w:rPr>
      <w:rFonts w:ascii="Arial" w:hAnsi="Arial" w:eastAsia="微软雅黑"/>
      <w:b/>
      <w:bCs/>
      <w:kern w:val="2"/>
      <w:sz w:val="21"/>
      <w:szCs w:val="24"/>
    </w:rPr>
  </w:style>
  <w:style w:type="paragraph" w:styleId="31">
    <w:name w:val="List Paragraph"/>
    <w:basedOn w:val="1"/>
    <w:qFormat/>
    <w:uiPriority w:val="99"/>
  </w:style>
  <w:style w:type="paragraph" w:customStyle="1" w:styleId="32">
    <w:name w:val="EndNote Bibliography Title"/>
    <w:basedOn w:val="1"/>
    <w:link w:val="33"/>
    <w:qFormat/>
    <w:uiPriority w:val="0"/>
    <w:pPr>
      <w:jc w:val="center"/>
    </w:pPr>
    <w:rPr>
      <w:sz w:val="20"/>
    </w:rPr>
  </w:style>
  <w:style w:type="character" w:customStyle="1" w:styleId="33">
    <w:name w:val="EndNote Bibliography Title 字符"/>
    <w:basedOn w:val="20"/>
    <w:link w:val="32"/>
    <w:qFormat/>
    <w:uiPriority w:val="0"/>
    <w:rPr>
      <w:kern w:val="2"/>
      <w:szCs w:val="24"/>
    </w:rPr>
  </w:style>
  <w:style w:type="paragraph" w:customStyle="1" w:styleId="34">
    <w:name w:val="EndNote Bibliography"/>
    <w:basedOn w:val="1"/>
    <w:link w:val="35"/>
    <w:qFormat/>
    <w:uiPriority w:val="0"/>
    <w:rPr>
      <w:sz w:val="20"/>
    </w:rPr>
  </w:style>
  <w:style w:type="character" w:customStyle="1" w:styleId="35">
    <w:name w:val="EndNote Bibliography 字符"/>
    <w:basedOn w:val="20"/>
    <w:link w:val="34"/>
    <w:qFormat/>
    <w:uiPriority w:val="0"/>
    <w:rPr>
      <w:kern w:val="2"/>
      <w:szCs w:val="24"/>
    </w:rPr>
  </w:style>
  <w:style w:type="character" w:customStyle="1" w:styleId="36">
    <w:name w:val="Unresolved Mention"/>
    <w:basedOn w:val="20"/>
    <w:semiHidden/>
    <w:unhideWhenUsed/>
    <w:qFormat/>
    <w:uiPriority w:val="99"/>
    <w:rPr>
      <w:color w:val="605E5C"/>
      <w:shd w:val="clear" w:color="auto" w:fill="E1DFDD"/>
    </w:rPr>
  </w:style>
  <w:style w:type="character" w:customStyle="1" w:styleId="37">
    <w:name w:val="Subtle Emphasis"/>
    <w:basedOn w:val="20"/>
    <w:qFormat/>
    <w:uiPriority w:val="19"/>
    <w:rPr>
      <w:i/>
      <w:iCs/>
      <w:color w:val="404040" w:themeColor="text1" w:themeTint="BF"/>
      <w14:textFill>
        <w14:solidFill>
          <w14:schemeClr w14:val="tx1">
            <w14:lumMod w14:val="75000"/>
            <w14:lumOff w14:val="25000"/>
          </w14:schemeClr>
        </w14:solidFill>
      </w14:textFill>
    </w:rPr>
  </w:style>
  <w:style w:type="character" w:customStyle="1" w:styleId="38">
    <w:name w:val="Intense Emphasis"/>
    <w:basedOn w:val="20"/>
    <w:qFormat/>
    <w:uiPriority w:val="21"/>
    <w:rPr>
      <w:i/>
      <w:iCs/>
      <w:color w:val="5B9BD5" w:themeColor="accent1"/>
      <w14:textFill>
        <w14:solidFill>
          <w14:schemeClr w14:val="accent1"/>
        </w14:solidFill>
      </w14:textFill>
    </w:rPr>
  </w:style>
  <w:style w:type="character" w:customStyle="1" w:styleId="39">
    <w:name w:val="Subtle Reference"/>
    <w:basedOn w:val="20"/>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0">
    <w:name w:val="Intense Reference"/>
    <w:basedOn w:val="20"/>
    <w:qFormat/>
    <w:uiPriority w:val="32"/>
    <w:rPr>
      <w:b/>
      <w:bCs/>
      <w:smallCaps/>
      <w:color w:val="5B9BD5" w:themeColor="accent1"/>
      <w:spacing w:val="5"/>
      <w14:textFill>
        <w14:solidFill>
          <w14:schemeClr w14:val="accent1"/>
        </w14:solidFill>
      </w14:textFill>
    </w:rPr>
  </w:style>
  <w:style w:type="character" w:customStyle="1" w:styleId="41">
    <w:name w:val="Book Title"/>
    <w:basedOn w:val="20"/>
    <w:qFormat/>
    <w:uiPriority w:val="33"/>
    <w:rPr>
      <w:b/>
      <w:bCs/>
      <w:i/>
      <w:iCs/>
      <w:spacing w:val="5"/>
    </w:rPr>
  </w:style>
  <w:style w:type="character" w:customStyle="1" w:styleId="42">
    <w:name w:val="副标题 字符"/>
    <w:basedOn w:val="20"/>
    <w:link w:val="14"/>
    <w:qFormat/>
    <w:uiPriority w:val="0"/>
    <w:rPr>
      <w:rFonts w:cstheme="minorBidi"/>
      <w:bCs/>
      <w:kern w:val="28"/>
      <w:sz w:val="18"/>
      <w:szCs w:val="32"/>
    </w:rPr>
  </w:style>
  <w:style w:type="character" w:customStyle="1" w:styleId="43">
    <w:name w:val="书籍标题1"/>
    <w:basedOn w:val="20"/>
    <w:qFormat/>
    <w:uiPriority w:val="33"/>
    <w:rPr>
      <w:b/>
      <w:bCs/>
      <w:i/>
      <w:iC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Words>37693</Words>
  <Characters>44249</Characters>
  <Lines>422</Lines>
  <Paragraphs>119</Paragraphs>
  <TotalTime>1</TotalTime>
  <ScaleCrop>false</ScaleCrop>
  <LinksUpToDate>false</LinksUpToDate>
  <CharactersWithSpaces>45529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2023-02-21T21:58:00Z</dcterms:created>
  <dc:creator>wang</dc:creator>
  <cp:lastModifiedBy>秋空霁海</cp:lastModifiedBy>
  <cp:lastPrinted>2023-03-12T09:15:00Z</cp:lastPrinted>
  <dcterms:modified xsi:type="dcterms:W3CDTF">2023-03-12T05:26:18Z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7D440D16F20247B08B0DB1152A4558EC</vt:lpwstr>
  </property>
  <property fmtid="{D5CDD505-2E9C-101B-9397-08002B2CF9AE}" pid="6" name="commondata">
    <vt:lpwstr>eyJoZGlkIjoiZGJjMzVmMTRjMTEyY2Y5MWE2OTA1YzY4NjQ3YWQ5NGQifQ==</vt:lpwstr>
  </property>
</Properties>
</file>