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0" w:firstLineChars="1300"/>
        <w:jc w:val="both"/>
        <w:rPr>
          <w:rFonts w:hint="eastAsia"/>
        </w:rPr>
      </w:pPr>
      <w:bookmarkStart w:id="0" w:name="_Hlk125114517"/>
      <w:bookmarkStart w:id="1" w:name="_Hlk125114476"/>
      <w:bookmarkStart w:id="4" w:name="_GoBack"/>
      <w:bookmarkEnd w:id="4"/>
      <w:r>
        <w:rPr>
          <w:rFonts w:hint="eastAsia"/>
          <w:lang w:val="en-US" w:eastAsia="zh-CN"/>
        </w:rPr>
        <w:t>论文推介和</w:t>
      </w:r>
      <w:r>
        <w:rPr>
          <w:rFonts w:hint="eastAsia"/>
        </w:rPr>
        <w:t>作者信息</w:t>
      </w:r>
    </w:p>
    <w:p>
      <w:pPr>
        <w:ind w:firstLine="2730" w:firstLineChars="1300"/>
        <w:jc w:val="both"/>
        <w:rPr>
          <w:rFonts w:hint="default"/>
          <w:lang w:val="en-US" w:eastAsia="zh-CN"/>
        </w:rPr>
      </w:pPr>
    </w:p>
    <w:p>
      <w:pPr>
        <w:ind w:left="0" w:leftChars="0"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习近平总书记指出“</w:t>
      </w:r>
      <w:r>
        <w:rPr>
          <w:rFonts w:hint="eastAsia" w:asciiTheme="minorEastAsia" w:hAnsiTheme="minorEastAsia" w:eastAsiaTheme="minorEastAsia" w:cstheme="minorEastAsia"/>
          <w:szCs w:val="21"/>
        </w:rPr>
        <w:t>中国式现代化，打破了“现代化=西方化”的迷思，展现了现代化的另一幅图景，拓展了发展中国家走向现代化的路径选择，为人类对更好社会制度的探索提供了中国方案</w:t>
      </w:r>
      <w:r>
        <w:rPr>
          <w:rFonts w:hint="eastAsia" w:asciiTheme="minorEastAsia" w:hAnsiTheme="minorEastAsia" w:eastAsiaTheme="minorEastAsia" w:cstheme="minorEastAsia"/>
          <w:szCs w:val="21"/>
          <w:lang w:eastAsia="zh-CN"/>
        </w:rPr>
        <w:t>”。</w:t>
      </w:r>
    </w:p>
    <w:p>
      <w:pPr>
        <w:ind w:left="0" w:leftChars="0"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本文作者花了八年以上的时间和大量精力仔细研究了大量英语原版经济理论著作和学术论文，阅读量达数万页。对什么是经济理论，概率论成立的前提是什么，什么是数学，什么是计量经济学等基础性问题做了深度思考，然后搞清楚了《国富论》</w:t>
      </w:r>
      <w:r>
        <w:rPr>
          <w:rFonts w:hint="eastAsia" w:ascii="微软雅黑" w:hAnsi="微软雅黑" w:eastAsia="微软雅黑" w:cs="微软雅黑"/>
          <w:szCs w:val="21"/>
          <w:lang w:val="en-US" w:eastAsia="zh-CN"/>
        </w:rPr>
        <w:t>、</w:t>
      </w:r>
      <w:r>
        <w:rPr>
          <w:rFonts w:hint="eastAsia" w:asciiTheme="minorEastAsia" w:hAnsiTheme="minorEastAsia" w:eastAsiaTheme="minorEastAsia" w:cstheme="minorEastAsia"/>
          <w:szCs w:val="21"/>
          <w:lang w:val="en-US" w:eastAsia="zh-CN"/>
        </w:rPr>
        <w:t>《通论》及主流经济理论若干重要经济理论模型的逻辑是什么，存在的问题和缺陷是什么。在这基础上写成了这篇论文，写作过程中得到众多经济学家的关键指点。</w:t>
      </w:r>
    </w:p>
    <w:p>
      <w:pPr>
        <w:ind w:left="0" w:leftChars="0"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因为作者不是职业经济学家，论文写作难免不规范，问题阐述免有逻辑缺陷，希望各位审阅老师多鼓励本文有价值的地方，批评指正错误的地方，并给予关键性的指导修改意见，为中国式现代化经济理论建设共同努力。</w:t>
      </w:r>
    </w:p>
    <w:p>
      <w:pPr>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汪思波，1981-1986年清华大学工程物理系反应堆工程专业本科</w:t>
      </w:r>
      <w:r>
        <w:rPr>
          <w:rFonts w:hint="eastAsia" w:asciiTheme="minorEastAsia" w:hAnsiTheme="minorEastAsia" w:eastAsiaTheme="minorEastAsia" w:cstheme="minorEastAsia"/>
          <w:szCs w:val="21"/>
          <w:lang w:val="en-US" w:eastAsia="zh-CN"/>
        </w:rPr>
        <w:t>生</w:t>
      </w:r>
      <w:r>
        <w:rPr>
          <w:rFonts w:hint="eastAsia" w:asciiTheme="minorEastAsia" w:hAnsiTheme="minorEastAsia" w:eastAsiaTheme="minorEastAsia" w:cstheme="minorEastAsia"/>
          <w:szCs w:val="21"/>
        </w:rPr>
        <w:t>，1986-1989年清华大学核能技术研究院管理工程</w:t>
      </w:r>
      <w:r>
        <w:rPr>
          <w:rFonts w:hint="eastAsia" w:asciiTheme="minorEastAsia" w:hAnsiTheme="minorEastAsia" w:eastAsiaTheme="minorEastAsia" w:cstheme="minorEastAsia"/>
          <w:szCs w:val="21"/>
          <w:lang w:val="en-US" w:eastAsia="zh-CN"/>
        </w:rPr>
        <w:t>专业</w:t>
      </w:r>
      <w:r>
        <w:rPr>
          <w:rFonts w:hint="eastAsia" w:asciiTheme="minorEastAsia" w:hAnsiTheme="minorEastAsia" w:eastAsiaTheme="minorEastAsia" w:cstheme="minorEastAsia"/>
          <w:szCs w:val="21"/>
        </w:rPr>
        <w:t>硕士研究生，2002年2月-2003年4月UC Berkeley Extension 国际金融课程。现任深圳市卓尔信投资管理有限公司总经理。电邮：wangsb98@21cn.com，手机13922863683，住址：深圳市龙华区玉龙路圣莫丽斯</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rPr>
        <w:t>本论文写作过程中得到王正位、李会明，赵登峰、吴遵杰、赵文军、王树佳、田国强、杨荣海等教授</w:t>
      </w:r>
      <w:r>
        <w:rPr>
          <w:rFonts w:asciiTheme="minorEastAsia" w:hAnsiTheme="minorEastAsia" w:eastAsiaTheme="minorEastAsia" w:cstheme="minorEastAsia"/>
        </w:rPr>
        <w:t>和汪文青博士</w:t>
      </w:r>
      <w:r>
        <w:rPr>
          <w:rFonts w:hint="eastAsia" w:asciiTheme="minorEastAsia" w:hAnsiTheme="minorEastAsia" w:eastAsiaTheme="minorEastAsia" w:cstheme="minorEastAsia"/>
        </w:rPr>
        <w:t>生的关键指导并得到王仁震、杜战平</w:t>
      </w:r>
      <w:r>
        <w:rPr>
          <w:rFonts w:asciiTheme="minorEastAsia" w:hAnsiTheme="minorEastAsia" w:eastAsiaTheme="minorEastAsia" w:cstheme="minorEastAsia"/>
        </w:rPr>
        <w:t>和</w:t>
      </w:r>
      <w:r>
        <w:rPr>
          <w:rFonts w:hint="eastAsia" w:asciiTheme="minorEastAsia" w:hAnsiTheme="minorEastAsia" w:eastAsiaTheme="minorEastAsia" w:cstheme="minorEastAsia"/>
        </w:rPr>
        <w:t>曹勇好友的大力支持</w:t>
      </w:r>
      <w:r>
        <w:rPr>
          <w:rFonts w:hint="default" w:asciiTheme="minorEastAsia" w:hAnsiTheme="minorEastAsia" w:eastAsiaTheme="minorEastAsia" w:cstheme="minorEastAsia"/>
        </w:rPr>
        <w:t>，</w:t>
      </w:r>
      <w:r>
        <w:rPr>
          <w:rFonts w:hint="eastAsia" w:asciiTheme="minorEastAsia" w:hAnsiTheme="minorEastAsia" w:eastAsiaTheme="minorEastAsia" w:cstheme="minorEastAsia"/>
        </w:rPr>
        <w:t>在此谨表示衷心感谢。</w:t>
      </w:r>
      <w:r>
        <w:rPr>
          <w:rFonts w:hint="eastAsia" w:asciiTheme="minorEastAsia" w:hAnsiTheme="minorEastAsia" w:eastAsiaTheme="minorEastAsia" w:cstheme="minorEastAsia"/>
          <w:lang w:val="en-US" w:eastAsia="zh-CN"/>
        </w:rPr>
        <w:t>但</w:t>
      </w:r>
      <w:r>
        <w:rPr>
          <w:rFonts w:hint="eastAsia" w:asciiTheme="minorEastAsia" w:hAnsiTheme="minorEastAsia" w:eastAsiaTheme="minorEastAsia" w:cstheme="minorEastAsia"/>
        </w:rPr>
        <w:t>本论文的一切错误由作者负责，与上述各位教授和好友无关。</w:t>
      </w:r>
    </w:p>
    <w:p>
      <w:pPr>
        <w:pStyle w:val="16"/>
        <w:ind w:left="0" w:leftChars="0" w:firstLine="1280" w:firstLineChars="400"/>
        <w:jc w:val="both"/>
        <w:rPr>
          <w:rFonts w:ascii="宋体" w:hAnsi="宋体" w:cs="宋体"/>
          <w:sz w:val="28"/>
          <w:szCs w:val="28"/>
        </w:rPr>
      </w:pPr>
      <w:r>
        <w:rPr>
          <w:rFonts w:hint="eastAsia"/>
        </w:rPr>
        <w:t>政府管理的市场经济</w:t>
      </w:r>
      <w:r>
        <w:rPr>
          <w:rFonts w:hint="eastAsia"/>
          <w:lang w:eastAsia="zh-CN"/>
        </w:rPr>
        <w:t>：</w:t>
      </w:r>
      <w:r>
        <w:rPr>
          <w:rFonts w:hint="eastAsia"/>
          <w:lang w:val="en-US" w:eastAsia="zh-CN"/>
        </w:rPr>
        <w:t>一个理论框架</w:t>
      </w:r>
      <w:r>
        <w:rPr>
          <w:rFonts w:hint="eastAsia" w:ascii="宋体" w:hAnsi="宋体" w:cs="宋体"/>
          <w:sz w:val="28"/>
          <w:szCs w:val="28"/>
        </w:rPr>
        <w:t xml:space="preserve">    </w:t>
      </w:r>
    </w:p>
    <w:p>
      <w:pPr>
        <w:ind w:firstLine="3150" w:firstLineChars="1500"/>
        <w:jc w:val="both"/>
      </w:pPr>
      <w:r>
        <w:rPr>
          <w:rFonts w:hint="eastAsia"/>
        </w:rPr>
        <w:t>汪思波</w:t>
      </w:r>
    </w:p>
    <w:p>
      <w:pPr>
        <w:ind w:firstLine="422"/>
        <w:rPr>
          <w:rFonts w:ascii="仿宋" w:hAnsi="仿宋" w:eastAsia="仿宋"/>
        </w:rPr>
      </w:pPr>
      <w:r>
        <w:rPr>
          <w:rFonts w:hint="eastAsia" w:ascii="仿宋" w:hAnsi="仿宋" w:eastAsia="仿宋"/>
          <w:b/>
          <w:bCs/>
        </w:rPr>
        <w:t>摘要：</w:t>
      </w:r>
      <w:r>
        <w:rPr>
          <w:rFonts w:hint="eastAsia" w:ascii="仿宋" w:hAnsi="仿宋" w:eastAsia="仿宋"/>
        </w:rPr>
        <w:t>本文</w:t>
      </w:r>
      <w:r>
        <w:rPr>
          <w:rFonts w:hint="eastAsia" w:ascii="仿宋" w:hAnsi="仿宋" w:eastAsia="仿宋"/>
          <w:lang w:val="en-US" w:eastAsia="zh-CN"/>
        </w:rPr>
        <w:t>提出一个新的经济理论框架：政府管理的市场经济。文章讨论</w:t>
      </w:r>
      <w:r>
        <w:rPr>
          <w:rFonts w:hint="eastAsia" w:ascii="仿宋" w:hAnsi="仿宋" w:eastAsia="仿宋"/>
        </w:rPr>
        <w:t>数学化科学方法论和基本规律假设，</w:t>
      </w:r>
      <w:r>
        <w:rPr>
          <w:rFonts w:hint="eastAsia" w:ascii="仿宋" w:hAnsi="仿宋" w:eastAsia="仿宋"/>
          <w:lang w:val="en-US" w:eastAsia="zh-CN"/>
        </w:rPr>
        <w:t>指出</w:t>
      </w:r>
      <w:r>
        <w:rPr>
          <w:rFonts w:hint="eastAsia" w:ascii="仿宋" w:hAnsi="仿宋" w:eastAsia="仿宋"/>
        </w:rPr>
        <w:t>新古典学派和凯恩斯学派关于市场经济的基本规律假设，提出改进的基本规律假设并在此基础上构建政府管理的市场经济数学模型。</w:t>
      </w:r>
      <w:r>
        <w:rPr>
          <w:rFonts w:hint="default" w:ascii="仿宋" w:hAnsi="仿宋" w:eastAsia="仿宋"/>
        </w:rPr>
        <w:t>与新古典和凯恩斯学派各类</w:t>
      </w:r>
      <w:r>
        <w:rPr>
          <w:rFonts w:hint="eastAsia" w:ascii="仿宋" w:hAnsi="仿宋" w:eastAsia="仿宋"/>
        </w:rPr>
        <w:t>模型</w:t>
      </w:r>
      <w:r>
        <w:rPr>
          <w:rFonts w:hint="default" w:ascii="仿宋" w:hAnsi="仿宋" w:eastAsia="仿宋"/>
        </w:rPr>
        <w:t>认为市场经济存在最优解不同，本文</w:t>
      </w:r>
      <w:r>
        <w:rPr>
          <w:rFonts w:hint="eastAsia" w:ascii="仿宋" w:hAnsi="仿宋" w:eastAsia="仿宋"/>
          <w:lang w:val="en-US" w:eastAsia="zh-CN"/>
        </w:rPr>
        <w:t>模型</w:t>
      </w:r>
      <w:r>
        <w:rPr>
          <w:rFonts w:hint="default" w:ascii="仿宋" w:hAnsi="仿宋" w:eastAsia="仿宋"/>
        </w:rPr>
        <w:t>认为市场经济不存在最优解，政府政策能提高劳动力利用率、改善民众生活和提高经济体禀赋。模型经济体可免于金融危机</w:t>
      </w:r>
      <w:r>
        <w:rPr>
          <w:rFonts w:hint="eastAsia" w:ascii="微软雅黑" w:hAnsi="微软雅黑" w:eastAsia="微软雅黑" w:cs="微软雅黑"/>
        </w:rPr>
        <w:t>、</w:t>
      </w:r>
      <w:r>
        <w:rPr>
          <w:rFonts w:hint="default" w:ascii="仿宋" w:hAnsi="仿宋" w:eastAsia="仿宋"/>
        </w:rPr>
        <w:t>最大程度平滑经济波动</w:t>
      </w:r>
      <w:r>
        <w:rPr>
          <w:rFonts w:hint="eastAsia" w:ascii="仿宋" w:hAnsi="仿宋" w:eastAsia="仿宋"/>
          <w:lang w:val="en-US" w:eastAsia="zh-CN"/>
        </w:rPr>
        <w:t>和最大程度挖掘</w:t>
      </w:r>
      <w:r>
        <w:rPr>
          <w:rFonts w:hint="default" w:ascii="仿宋" w:hAnsi="仿宋" w:eastAsia="仿宋"/>
          <w:lang w:eastAsia="zh-CN"/>
        </w:rPr>
        <w:t>经济</w:t>
      </w:r>
      <w:r>
        <w:rPr>
          <w:rFonts w:hint="eastAsia" w:ascii="仿宋" w:hAnsi="仿宋" w:eastAsia="仿宋"/>
          <w:lang w:val="en-US" w:eastAsia="zh-CN"/>
        </w:rPr>
        <w:t>增长潜力</w:t>
      </w:r>
      <w:r>
        <w:rPr>
          <w:rFonts w:hint="default" w:ascii="仿宋" w:hAnsi="仿宋" w:eastAsia="仿宋"/>
        </w:rPr>
        <w:t>，但</w:t>
      </w:r>
      <w:r>
        <w:rPr>
          <w:rFonts w:hint="eastAsia" w:ascii="仿宋" w:hAnsi="仿宋" w:eastAsia="仿宋"/>
        </w:rPr>
        <w:t>管理私人部门资本跨境流动是</w:t>
      </w:r>
      <w:r>
        <w:rPr>
          <w:rFonts w:hint="default" w:ascii="仿宋" w:hAnsi="仿宋" w:eastAsia="仿宋"/>
        </w:rPr>
        <w:t>其</w:t>
      </w:r>
      <w:r>
        <w:rPr>
          <w:rFonts w:hint="eastAsia" w:ascii="仿宋" w:hAnsi="仿宋" w:eastAsia="仿宋"/>
        </w:rPr>
        <w:t>赖以</w:t>
      </w:r>
      <w:r>
        <w:rPr>
          <w:rFonts w:hint="eastAsia" w:ascii="仿宋" w:hAnsi="仿宋" w:eastAsia="仿宋"/>
          <w:lang w:val="en-US" w:eastAsia="zh-CN"/>
        </w:rPr>
        <w:t>建立与存在</w:t>
      </w:r>
      <w:r>
        <w:rPr>
          <w:rFonts w:hint="eastAsia" w:ascii="仿宋" w:hAnsi="仿宋" w:eastAsia="仿宋"/>
        </w:rPr>
        <w:t>的前提。对中国过去四十多年</w:t>
      </w:r>
      <w:r>
        <w:rPr>
          <w:rFonts w:hint="eastAsia" w:ascii="仿宋" w:hAnsi="仿宋" w:eastAsia="仿宋"/>
          <w:lang w:val="en-US" w:eastAsia="zh-CN"/>
        </w:rPr>
        <w:t>来</w:t>
      </w:r>
      <w:r>
        <w:rPr>
          <w:rFonts w:hint="eastAsia" w:ascii="仿宋" w:hAnsi="仿宋" w:eastAsia="仿宋"/>
        </w:rPr>
        <w:t>在经济和科研方面取得的显著成就及若干其它重要经济现实和理论问题</w:t>
      </w:r>
      <w:r>
        <w:rPr>
          <w:rFonts w:hint="eastAsia" w:ascii="仿宋" w:hAnsi="仿宋" w:eastAsia="仿宋"/>
          <w:lang w:eastAsia="zh-CN"/>
        </w:rPr>
        <w:t>，</w:t>
      </w:r>
      <w:r>
        <w:rPr>
          <w:rFonts w:hint="eastAsia" w:ascii="仿宋" w:hAnsi="仿宋" w:eastAsia="仿宋"/>
          <w:lang w:val="en-US" w:eastAsia="zh-CN"/>
        </w:rPr>
        <w:t>本文</w:t>
      </w:r>
      <w:r>
        <w:rPr>
          <w:rFonts w:hint="eastAsia" w:ascii="仿宋" w:hAnsi="仿宋" w:eastAsia="仿宋"/>
        </w:rPr>
        <w:t>给出与主流经济理论</w:t>
      </w:r>
      <w:r>
        <w:rPr>
          <w:rFonts w:hint="default" w:ascii="仿宋" w:hAnsi="仿宋" w:eastAsia="仿宋"/>
        </w:rPr>
        <w:t>截然</w:t>
      </w:r>
      <w:r>
        <w:rPr>
          <w:rFonts w:hint="eastAsia" w:ascii="仿宋" w:hAnsi="仿宋" w:eastAsia="仿宋"/>
        </w:rPr>
        <w:t>不同的解释。</w:t>
      </w:r>
    </w:p>
    <w:p>
      <w:pPr>
        <w:ind w:firstLine="422"/>
        <w:rPr>
          <w:rFonts w:ascii="仿宋" w:hAnsi="仿宋" w:eastAsia="仿宋"/>
        </w:rPr>
      </w:pPr>
    </w:p>
    <w:p>
      <w:pPr>
        <w:rPr>
          <w:rFonts w:ascii="方正楷体_GB2312" w:hAnsi="方正楷体_GB2312" w:eastAsia="方正楷体_GB2312" w:cs="方正楷体_GB2312"/>
        </w:rPr>
      </w:pPr>
    </w:p>
    <w:p>
      <w:pPr>
        <w:rPr>
          <w:rFonts w:asciiTheme="minorEastAsia" w:hAnsiTheme="minorEastAsia" w:eastAsiaTheme="minorEastAsia" w:cstheme="minorEastAsia"/>
          <w:szCs w:val="21"/>
        </w:rPr>
      </w:pPr>
    </w:p>
    <w:p>
      <w:r>
        <w:br w:type="page"/>
      </w:r>
    </w:p>
    <w:bookmarkEnd w:id="0"/>
    <w:p>
      <w:pPr>
        <w:pStyle w:val="16"/>
        <w:ind w:firstLine="1609" w:firstLineChars="503"/>
        <w:jc w:val="both"/>
        <w:rPr>
          <w:rFonts w:hint="default"/>
          <w:lang w:val="en-US"/>
        </w:rPr>
      </w:pPr>
      <w:bookmarkStart w:id="2" w:name="_Hlk125114494"/>
      <w:r>
        <w:rPr>
          <w:rFonts w:hint="eastAsia"/>
        </w:rPr>
        <w:t>政府管理的市场经济</w:t>
      </w:r>
      <w:r>
        <w:rPr>
          <w:rFonts w:hint="eastAsia"/>
          <w:lang w:eastAsia="zh-CN"/>
        </w:rPr>
        <w:t>：</w:t>
      </w:r>
      <w:r>
        <w:rPr>
          <w:rFonts w:hint="eastAsia"/>
          <w:lang w:val="en-US" w:eastAsia="zh-CN"/>
        </w:rPr>
        <w:t>一个理论框架</w:t>
      </w:r>
    </w:p>
    <w:p>
      <w:pPr>
        <w:ind w:firstLine="0" w:firstLineChars="0"/>
      </w:pPr>
    </w:p>
    <w:p>
      <w:pPr>
        <w:ind w:firstLine="0" w:firstLineChars="0"/>
      </w:pPr>
    </w:p>
    <w:p>
      <w:pPr>
        <w:ind w:firstLine="0" w:firstLineChars="0"/>
      </w:pPr>
    </w:p>
    <w:p>
      <w:pPr>
        <w:ind w:firstLine="422"/>
        <w:rPr>
          <w:rFonts w:ascii="仿宋" w:hAnsi="仿宋" w:eastAsia="仿宋"/>
        </w:rPr>
      </w:pPr>
      <w:bookmarkStart w:id="3" w:name="_Hlk125114713"/>
      <w:r>
        <w:rPr>
          <w:rFonts w:hint="eastAsia" w:ascii="仿宋" w:hAnsi="仿宋" w:eastAsia="仿宋"/>
          <w:b/>
          <w:bCs/>
        </w:rPr>
        <w:t>摘要：</w:t>
      </w:r>
      <w:r>
        <w:rPr>
          <w:rFonts w:hint="eastAsia" w:ascii="仿宋" w:hAnsi="仿宋" w:eastAsia="仿宋"/>
        </w:rPr>
        <w:t>本文</w:t>
      </w:r>
      <w:r>
        <w:rPr>
          <w:rFonts w:hint="eastAsia" w:ascii="仿宋" w:hAnsi="仿宋" w:eastAsia="仿宋"/>
          <w:lang w:val="en-US" w:eastAsia="zh-CN"/>
        </w:rPr>
        <w:t>提出一个新的经济理论框架：政府管理的市场经济。文章讨论</w:t>
      </w:r>
      <w:r>
        <w:rPr>
          <w:rFonts w:hint="eastAsia" w:ascii="仿宋" w:hAnsi="仿宋" w:eastAsia="仿宋"/>
        </w:rPr>
        <w:t>数学化科学方法论和基本规律假设，</w:t>
      </w:r>
      <w:r>
        <w:rPr>
          <w:rFonts w:hint="eastAsia" w:ascii="仿宋" w:hAnsi="仿宋" w:eastAsia="仿宋"/>
          <w:lang w:val="en-US" w:eastAsia="zh-CN"/>
        </w:rPr>
        <w:t>指出</w:t>
      </w:r>
      <w:r>
        <w:rPr>
          <w:rFonts w:hint="eastAsia" w:ascii="仿宋" w:hAnsi="仿宋" w:eastAsia="仿宋"/>
        </w:rPr>
        <w:t>新古典学派和凯恩斯学派关于市场经济的基本规律假设，提出改进的基本规律假设并在此基础上构建政府管理的市场经济数学模型。</w:t>
      </w:r>
      <w:r>
        <w:rPr>
          <w:rFonts w:hint="default" w:ascii="仿宋" w:hAnsi="仿宋" w:eastAsia="仿宋"/>
        </w:rPr>
        <w:t>与新古典和凯恩斯学派各类</w:t>
      </w:r>
      <w:r>
        <w:rPr>
          <w:rFonts w:hint="eastAsia" w:ascii="仿宋" w:hAnsi="仿宋" w:eastAsia="仿宋"/>
        </w:rPr>
        <w:t>模型</w:t>
      </w:r>
      <w:r>
        <w:rPr>
          <w:rFonts w:hint="default" w:ascii="仿宋" w:hAnsi="仿宋" w:eastAsia="仿宋"/>
        </w:rPr>
        <w:t>认为市场经济存在最优解不同，本文</w:t>
      </w:r>
      <w:r>
        <w:rPr>
          <w:rFonts w:hint="eastAsia" w:ascii="仿宋" w:hAnsi="仿宋" w:eastAsia="仿宋"/>
          <w:lang w:val="en-US" w:eastAsia="zh-CN"/>
        </w:rPr>
        <w:t>模型</w:t>
      </w:r>
      <w:r>
        <w:rPr>
          <w:rFonts w:hint="default" w:ascii="仿宋" w:hAnsi="仿宋" w:eastAsia="仿宋"/>
        </w:rPr>
        <w:t>认为市场经济不存在最优解，政府政策能提高劳动力利用率、改善民众生活和提高经济体禀赋。模型经济体可免于金融危机</w:t>
      </w:r>
      <w:r>
        <w:rPr>
          <w:rFonts w:hint="eastAsia" w:ascii="微软雅黑" w:hAnsi="微软雅黑" w:eastAsia="微软雅黑" w:cs="微软雅黑"/>
        </w:rPr>
        <w:t>、</w:t>
      </w:r>
      <w:r>
        <w:rPr>
          <w:rFonts w:hint="default" w:ascii="仿宋" w:hAnsi="仿宋" w:eastAsia="仿宋"/>
        </w:rPr>
        <w:t>最大程度平滑经济波动</w:t>
      </w:r>
      <w:r>
        <w:rPr>
          <w:rFonts w:hint="eastAsia" w:ascii="仿宋" w:hAnsi="仿宋" w:eastAsia="仿宋"/>
          <w:lang w:val="en-US" w:eastAsia="zh-CN"/>
        </w:rPr>
        <w:t>和最大程度挖掘</w:t>
      </w:r>
      <w:r>
        <w:rPr>
          <w:rFonts w:hint="default" w:ascii="仿宋" w:hAnsi="仿宋" w:eastAsia="仿宋"/>
          <w:lang w:eastAsia="zh-CN"/>
        </w:rPr>
        <w:t>经济</w:t>
      </w:r>
      <w:r>
        <w:rPr>
          <w:rFonts w:hint="eastAsia" w:ascii="仿宋" w:hAnsi="仿宋" w:eastAsia="仿宋"/>
          <w:lang w:val="en-US" w:eastAsia="zh-CN"/>
        </w:rPr>
        <w:t>增长潜力</w:t>
      </w:r>
      <w:r>
        <w:rPr>
          <w:rFonts w:hint="default" w:ascii="仿宋" w:hAnsi="仿宋" w:eastAsia="仿宋"/>
        </w:rPr>
        <w:t>，但</w:t>
      </w:r>
      <w:r>
        <w:rPr>
          <w:rFonts w:hint="eastAsia" w:ascii="仿宋" w:hAnsi="仿宋" w:eastAsia="仿宋"/>
        </w:rPr>
        <w:t>管理私人部门资本跨境流动是</w:t>
      </w:r>
      <w:r>
        <w:rPr>
          <w:rFonts w:hint="default" w:ascii="仿宋" w:hAnsi="仿宋" w:eastAsia="仿宋"/>
        </w:rPr>
        <w:t>其</w:t>
      </w:r>
      <w:r>
        <w:rPr>
          <w:rFonts w:hint="eastAsia" w:ascii="仿宋" w:hAnsi="仿宋" w:eastAsia="仿宋"/>
        </w:rPr>
        <w:t>赖以</w:t>
      </w:r>
      <w:r>
        <w:rPr>
          <w:rFonts w:hint="eastAsia" w:ascii="仿宋" w:hAnsi="仿宋" w:eastAsia="仿宋"/>
          <w:lang w:val="en-US" w:eastAsia="zh-CN"/>
        </w:rPr>
        <w:t>建立与存在</w:t>
      </w:r>
      <w:r>
        <w:rPr>
          <w:rFonts w:hint="eastAsia" w:ascii="仿宋" w:hAnsi="仿宋" w:eastAsia="仿宋"/>
        </w:rPr>
        <w:t>的前提。对中国过去四十多年</w:t>
      </w:r>
      <w:r>
        <w:rPr>
          <w:rFonts w:hint="eastAsia" w:ascii="仿宋" w:hAnsi="仿宋" w:eastAsia="仿宋"/>
          <w:lang w:val="en-US" w:eastAsia="zh-CN"/>
        </w:rPr>
        <w:t>来</w:t>
      </w:r>
      <w:r>
        <w:rPr>
          <w:rFonts w:hint="eastAsia" w:ascii="仿宋" w:hAnsi="仿宋" w:eastAsia="仿宋"/>
        </w:rPr>
        <w:t>在经济和科研方面取得的显著成就及若干其它重要经济现实和理论问题</w:t>
      </w:r>
      <w:r>
        <w:rPr>
          <w:rFonts w:hint="eastAsia" w:ascii="仿宋" w:hAnsi="仿宋" w:eastAsia="仿宋"/>
          <w:lang w:eastAsia="zh-CN"/>
        </w:rPr>
        <w:t>，</w:t>
      </w:r>
      <w:r>
        <w:rPr>
          <w:rFonts w:hint="eastAsia" w:ascii="仿宋" w:hAnsi="仿宋" w:eastAsia="仿宋"/>
          <w:lang w:val="en-US" w:eastAsia="zh-CN"/>
        </w:rPr>
        <w:t>本文</w:t>
      </w:r>
      <w:r>
        <w:rPr>
          <w:rFonts w:hint="eastAsia" w:ascii="仿宋" w:hAnsi="仿宋" w:eastAsia="仿宋"/>
        </w:rPr>
        <w:t>给出与主流经济理论</w:t>
      </w:r>
      <w:r>
        <w:rPr>
          <w:rFonts w:hint="default" w:ascii="仿宋" w:hAnsi="仿宋" w:eastAsia="仿宋"/>
        </w:rPr>
        <w:t>截然</w:t>
      </w:r>
      <w:r>
        <w:rPr>
          <w:rFonts w:hint="eastAsia" w:ascii="仿宋" w:hAnsi="仿宋" w:eastAsia="仿宋"/>
        </w:rPr>
        <w:t>不同的解释。</w:t>
      </w:r>
    </w:p>
    <w:p>
      <w:pPr>
        <w:ind w:left="0" w:leftChars="0" w:firstLine="422" w:firstLineChars="200"/>
        <w:rPr>
          <w:rFonts w:ascii="仿宋" w:hAnsi="仿宋" w:eastAsia="仿宋"/>
        </w:rPr>
      </w:pPr>
      <w:r>
        <w:rPr>
          <w:rFonts w:hint="eastAsia" w:ascii="仿宋" w:hAnsi="仿宋" w:eastAsia="仿宋"/>
          <w:b/>
          <w:bCs/>
        </w:rPr>
        <w:t>关键词：</w:t>
      </w:r>
      <w:r>
        <w:rPr>
          <w:rFonts w:hint="eastAsia" w:ascii="仿宋" w:hAnsi="仿宋" w:eastAsia="仿宋"/>
          <w:lang w:val="en-US" w:eastAsia="zh-CN"/>
        </w:rPr>
        <w:t>经济学方法论</w:t>
      </w:r>
      <w:r>
        <w:rPr>
          <w:rFonts w:hint="eastAsia" w:ascii="微软雅黑" w:hAnsi="微软雅黑" w:eastAsia="微软雅黑" w:cs="微软雅黑"/>
          <w:lang w:val="en-US" w:eastAsia="zh-CN"/>
        </w:rPr>
        <w:t>、</w:t>
      </w:r>
      <w:r>
        <w:rPr>
          <w:rFonts w:hint="eastAsia" w:ascii="仿宋" w:hAnsi="仿宋" w:eastAsia="仿宋"/>
          <w:lang w:val="en-US" w:eastAsia="zh-CN"/>
        </w:rPr>
        <w:t>基本</w:t>
      </w:r>
      <w:r>
        <w:rPr>
          <w:rFonts w:hint="eastAsia" w:ascii="仿宋" w:hAnsi="仿宋" w:eastAsia="仿宋"/>
        </w:rPr>
        <w:t>规律假设、</w:t>
      </w:r>
      <w:r>
        <w:rPr>
          <w:rFonts w:hint="eastAsia" w:ascii="仿宋" w:hAnsi="仿宋" w:eastAsia="仿宋"/>
          <w:lang w:val="en-US" w:eastAsia="zh-CN"/>
        </w:rPr>
        <w:t>数学模型</w:t>
      </w:r>
      <w:r>
        <w:rPr>
          <w:rFonts w:hint="eastAsia" w:ascii="微软雅黑" w:hAnsi="微软雅黑" w:eastAsia="微软雅黑" w:cs="微软雅黑"/>
          <w:lang w:val="en-US" w:eastAsia="zh-CN"/>
        </w:rPr>
        <w:t>、</w:t>
      </w:r>
      <w:r>
        <w:rPr>
          <w:rFonts w:hint="eastAsia" w:ascii="仿宋" w:hAnsi="仿宋" w:eastAsia="仿宋"/>
        </w:rPr>
        <w:t>政府管理的市场经济、</w:t>
      </w:r>
      <w:r>
        <w:rPr>
          <w:rFonts w:hint="eastAsia" w:ascii="仿宋" w:hAnsi="仿宋" w:eastAsia="仿宋"/>
          <w:lang w:val="en-US" w:eastAsia="zh-CN"/>
        </w:rPr>
        <w:t>经济体禀赋</w:t>
      </w:r>
      <w:r>
        <w:rPr>
          <w:rFonts w:hint="eastAsia" w:ascii="仿宋" w:hAnsi="仿宋" w:eastAsia="仿宋"/>
        </w:rPr>
        <w:t>、跨境资本流动管理</w:t>
      </w:r>
      <w:r>
        <w:rPr>
          <w:rFonts w:hint="eastAsia" w:ascii="微软雅黑" w:hAnsi="微软雅黑" w:eastAsia="微软雅黑" w:cs="微软雅黑"/>
        </w:rPr>
        <w:t>、</w:t>
      </w:r>
      <w:r>
        <w:rPr>
          <w:rFonts w:hint="eastAsia" w:ascii="仿宋" w:hAnsi="仿宋" w:eastAsia="仿宋"/>
          <w:lang w:val="en-US" w:eastAsia="zh-CN"/>
        </w:rPr>
        <w:t>经济理论框架</w:t>
      </w:r>
      <w:r>
        <w:rPr>
          <w:rFonts w:hint="eastAsia" w:ascii="仿宋" w:hAnsi="仿宋" w:eastAsia="仿宋"/>
        </w:rPr>
        <w:t>。</w:t>
      </w:r>
    </w:p>
    <w:p/>
    <w:p>
      <w:pPr>
        <w:pStyle w:val="2"/>
      </w:pPr>
      <w:r>
        <w:rPr>
          <w:rFonts w:hint="eastAsia"/>
        </w:rPr>
        <w:t>一、导论</w:t>
      </w:r>
    </w:p>
    <w:bookmarkEnd w:id="3"/>
    <w:p>
      <w:r>
        <w:rPr>
          <w:rFonts w:hint="eastAsia"/>
        </w:rPr>
        <w:t>1978年</w:t>
      </w:r>
      <w:r>
        <w:rPr>
          <w:rFonts w:hint="eastAsia"/>
          <w:lang w:val="en-US" w:eastAsia="zh-CN"/>
        </w:rPr>
        <w:t>改革伊始，中国逐步</w:t>
      </w:r>
      <w:r>
        <w:rPr>
          <w:rFonts w:hint="eastAsia"/>
        </w:rPr>
        <w:t>实行</w:t>
      </w:r>
      <w:r>
        <w:rPr>
          <w:rFonts w:hint="eastAsia"/>
          <w:lang w:val="en-US" w:eastAsia="zh-CN"/>
        </w:rPr>
        <w:t>社会主义</w:t>
      </w:r>
      <w:r>
        <w:rPr>
          <w:rFonts w:hint="eastAsia"/>
        </w:rPr>
        <w:t>市场经济体制并</w:t>
      </w:r>
      <w:r>
        <w:rPr>
          <w:rFonts w:hint="eastAsia"/>
          <w:lang w:val="en-US" w:eastAsia="zh-CN"/>
        </w:rPr>
        <w:t>实施</w:t>
      </w:r>
      <w:r>
        <w:rPr>
          <w:rFonts w:hint="eastAsia"/>
        </w:rPr>
        <w:t>对外开放。1979年中国人口为9.75亿人，GDP为1782亿美元；印度人口为6.83亿人，GDP为1530亿美元。</w:t>
      </w:r>
      <w:r>
        <w:rPr>
          <w:rFonts w:hint="eastAsia"/>
          <w:lang w:val="en-US" w:eastAsia="zh-CN"/>
        </w:rPr>
        <w:t>同期</w:t>
      </w:r>
      <w:r>
        <w:rPr>
          <w:rFonts w:hint="eastAsia"/>
        </w:rPr>
        <w:t>，中国人均GDP为183美元/人，印度人均GDP为224美元/人，中国人均GDP是印度的82%。</w:t>
      </w:r>
      <w:r>
        <w:rPr>
          <w:rFonts w:hint="eastAsia"/>
          <w:lang w:val="en-US" w:eastAsia="zh-CN"/>
        </w:rPr>
        <w:t>截至</w:t>
      </w:r>
      <w:r>
        <w:rPr>
          <w:rFonts w:hint="eastAsia"/>
        </w:rPr>
        <w:t>2020年，中国人口为14.14亿人，GDP为147227亿美元，印度人口为13.8亿，GDP为26229亿美元，中国人均GDP为10412美元/人，印度人均GDP为1901美元/人，中国人均GDP是印度的5.48倍。中国和印度均为人口大国，有着类似的国际经济环境，但这期间中国经济增长速度却显著比印度高。</w:t>
      </w:r>
    </w:p>
    <w:p>
      <w:r>
        <w:rPr>
          <w:rFonts w:hint="eastAsia"/>
        </w:rPr>
        <w:t>新古典学派认为自由市场经济能自身实现优化发展，政府经济政策反而对市场经济产生不良冲击</w:t>
      </w:r>
      <w:r>
        <w:fldChar w:fldCharType="begin"/>
      </w:r>
      <w:r>
        <w:instrText xml:space="preserve"> ADDIN EN.CITE &lt;EndNote&gt;&lt;Cite&gt;&lt;Author&gt;Lucas Jr&lt;/Author&gt;&lt;Year&gt;1975&lt;/Year&gt;&lt;RecNum&gt;955&lt;/RecNum&gt;&lt;DisplayText&gt;(Lucas Jr, 1975)&lt;/DisplayText&gt;&lt;record&gt;&lt;rec-number&gt;955&lt;/rec-number&gt;&lt;foreign-keys&gt;&lt;key app="EN" db-id="dfw50pzpwrep2aeerx4v2xdyaa5vzeftr0xv" timestamp="1674198066"&gt;955&lt;/key&gt;&lt;/foreign-keys&gt;&lt;ref-type name="Journal Article"&gt;17&lt;/ref-type&gt;&lt;contributors&gt;&lt;authors&gt;&lt;author&gt;Lucas Jr, Robert E.&lt;/author&gt;&lt;/authors&gt;&lt;/contributors&gt;&lt;titles&gt;&lt;title&gt;An equilibrium model of the business cycle&lt;/title&gt;&lt;secondary-title&gt;Journal of political economy&lt;/secondary-title&gt;&lt;/titles&gt;&lt;periodical&gt;&lt;full-title&gt;Journal of political economy&lt;/full-title&gt;&lt;/periodical&gt;&lt;pages&gt;1113-1144&lt;/pages&gt;&lt;volume&gt;83&lt;/volume&gt;&lt;number&gt;6&lt;/number&gt;&lt;dates&gt;&lt;year&gt;1975&lt;/year&gt;&lt;/dates&gt;&lt;publisher&gt;The University of Chicago Press&lt;/publisher&gt;&lt;isbn&gt;0022-3808&lt;/isbn&gt;&lt;urls&gt;&lt;/urls&gt;&lt;/record&gt;&lt;/Cite&gt;&lt;/EndNote&gt;</w:instrText>
      </w:r>
      <w:r>
        <w:fldChar w:fldCharType="separate"/>
      </w:r>
      <w:r>
        <w:t>(Lucas , 1975)</w:t>
      </w:r>
      <w:r>
        <w:fldChar w:fldCharType="end"/>
      </w:r>
      <w:r>
        <w:rPr>
          <w:rFonts w:hint="eastAsia"/>
        </w:rPr>
        <w:t>。按新古典学派经济理论，政府对经济干预比中国少的印度经济其增长率应该比中国经济增长率更高，现实却是1979年至2020年中国经济增长率比印度经济增长率显著高，这意味着新古典学派对中印两国过去四十多年经济增长现实的解释并不令人满意，有必要对其</w:t>
      </w:r>
      <w:r>
        <w:rPr>
          <w:rFonts w:hint="eastAsia"/>
          <w:lang w:val="en-US" w:eastAsia="zh-CN"/>
        </w:rPr>
        <w:t>进一步完善</w:t>
      </w:r>
      <w:r>
        <w:rPr>
          <w:rFonts w:hint="eastAsia"/>
        </w:rPr>
        <w:t>。虽然凯恩斯学派认为市场经济存在优化稳定均衡的政府投资和货币政策，存在优化稳定均衡的市场利率，但中国经济实践并未完全遵循凯恩斯主义理论，比如中国经济实践没有实行市场利率政策而是实行政府确定的利率政策，</w:t>
      </w:r>
      <w:r>
        <w:rPr>
          <w:rFonts w:hint="eastAsia"/>
          <w:lang w:val="en-US" w:eastAsia="zh-CN"/>
        </w:rPr>
        <w:t>从而导致了</w:t>
      </w:r>
      <w:r>
        <w:rPr>
          <w:rFonts w:hint="eastAsia"/>
        </w:rPr>
        <w:t>黑市利率情况</w:t>
      </w:r>
      <w:r>
        <w:rPr>
          <w:rFonts w:hint="eastAsia"/>
          <w:lang w:val="en-US" w:eastAsia="zh-CN"/>
        </w:rPr>
        <w:t>的存在</w:t>
      </w:r>
      <w:r>
        <w:rPr>
          <w:rFonts w:hint="eastAsia"/>
        </w:rPr>
        <w:t>。</w:t>
      </w:r>
    </w:p>
    <w:p>
      <w:r>
        <w:rPr>
          <w:rFonts w:hint="eastAsia"/>
        </w:rPr>
        <w:t>本文将从方法论和逻辑上反思主流经济理论。以下部分首先</w:t>
      </w:r>
      <w:r>
        <w:rPr>
          <w:rFonts w:hint="eastAsia"/>
          <w:lang w:val="en-US" w:eastAsia="zh-CN"/>
        </w:rPr>
        <w:t>讨论</w:t>
      </w:r>
      <w:r>
        <w:rPr>
          <w:rFonts w:hint="eastAsia"/>
        </w:rPr>
        <w:t>数学化科学方法论，提出遵循数学化科学方法论的经济理论，依此视角指出主流经济理论新古典</w:t>
      </w:r>
      <w:r>
        <w:rPr>
          <w:rFonts w:hint="default"/>
        </w:rPr>
        <w:t>学派</w:t>
      </w:r>
      <w:r>
        <w:rPr>
          <w:rFonts w:hint="eastAsia"/>
        </w:rPr>
        <w:t>和凯恩斯学派关于市场经济的基本规律假设，指出其中若干基本规律假设</w:t>
      </w:r>
      <w:r>
        <w:rPr>
          <w:rFonts w:hint="eastAsia"/>
          <w:lang w:val="en-US" w:eastAsia="zh-CN"/>
        </w:rPr>
        <w:t>过</w:t>
      </w:r>
      <w:r>
        <w:rPr>
          <w:rFonts w:hint="eastAsia"/>
        </w:rPr>
        <w:t>强，指出主流经济理论存在方法论缺陷。</w:t>
      </w:r>
      <w:r>
        <w:rPr>
          <w:rFonts w:hint="eastAsia"/>
          <w:lang w:val="en-US" w:eastAsia="zh-CN"/>
        </w:rPr>
        <w:t>然后</w:t>
      </w:r>
      <w:r>
        <w:rPr>
          <w:rFonts w:hint="eastAsia"/>
        </w:rPr>
        <w:t>提出关于市场经济的三个互相独立的基本规律假设并在此基础上构建政府管理的市场经济数学模型</w:t>
      </w:r>
      <w:r>
        <w:rPr>
          <w:rFonts w:hint="default"/>
        </w:rPr>
        <w:t>。再后阐述本模型对若干重要经济现实和经济理论问题与主流经济理论不同的解释。</w:t>
      </w:r>
      <w:r>
        <w:rPr>
          <w:rFonts w:hint="eastAsia"/>
        </w:rPr>
        <w:t>最后</w:t>
      </w:r>
      <w:r>
        <w:rPr>
          <w:rFonts w:hint="eastAsia"/>
          <w:lang w:val="en-US" w:eastAsia="zh-CN"/>
        </w:rPr>
        <w:t>部分</w:t>
      </w:r>
      <w:r>
        <w:rPr>
          <w:rFonts w:hint="eastAsia"/>
        </w:rPr>
        <w:t>是总结</w:t>
      </w:r>
      <w:r>
        <w:rPr>
          <w:rFonts w:hint="eastAsia"/>
          <w:lang w:eastAsia="zh-CN"/>
        </w:rPr>
        <w:t>（</w:t>
      </w:r>
      <w:r>
        <w:rPr>
          <w:rFonts w:hint="eastAsia"/>
          <w:lang w:val="en-US" w:eastAsia="zh-CN"/>
        </w:rPr>
        <w:t>一个新的经济理论框架</w:t>
      </w:r>
      <w:r>
        <w:rPr>
          <w:rFonts w:hint="eastAsia"/>
          <w:lang w:eastAsia="zh-CN"/>
        </w:rPr>
        <w:t>）</w:t>
      </w:r>
      <w:r>
        <w:rPr>
          <w:rFonts w:hint="eastAsia"/>
        </w:rPr>
        <w:t>和政策建议。</w:t>
      </w:r>
    </w:p>
    <w:p/>
    <w:p>
      <w:pPr>
        <w:pStyle w:val="2"/>
      </w:pPr>
      <w:r>
        <w:rPr>
          <w:rFonts w:hint="eastAsia"/>
        </w:rPr>
        <w:t>二、遵循数学化科学方法论的经济理论</w:t>
      </w:r>
    </w:p>
    <w:p>
      <w:pPr>
        <w:pStyle w:val="4"/>
        <w:ind w:firstLine="420"/>
      </w:pPr>
      <w:r>
        <w:rPr>
          <w:rFonts w:hint="eastAsia"/>
        </w:rPr>
        <w:t>（一）</w:t>
      </w:r>
      <w:r>
        <w:t>数学化科学方法论</w:t>
      </w:r>
    </w:p>
    <w:p>
      <w:r>
        <w:rPr>
          <w:rFonts w:hint="eastAsia"/>
        </w:rPr>
        <w:t>无论是自然科学学科还是社会科学学科，都称遵循科学方法论。广义地，讲逻辑的论述都可以认为遵循了科学方法论。本文</w:t>
      </w:r>
      <w:r>
        <w:rPr>
          <w:rFonts w:hint="default"/>
        </w:rPr>
        <w:t>把</w:t>
      </w:r>
      <w:r>
        <w:rPr>
          <w:rFonts w:hint="eastAsia"/>
        </w:rPr>
        <w:t>牛顿经典力学</w:t>
      </w:r>
      <w:r>
        <w:rPr>
          <w:rFonts w:hint="default"/>
        </w:rPr>
        <w:t>那</w:t>
      </w:r>
      <w:r>
        <w:rPr>
          <w:rFonts w:hint="eastAsia"/>
        </w:rPr>
        <w:t>样有特定方法论要求的科学方法论称为数学化科学方法论，以区别上述广义的科学方法论。</w:t>
      </w:r>
    </w:p>
    <w:p>
      <w:r>
        <w:t>爱因斯坦（</w:t>
      </w:r>
      <w:r>
        <w:fldChar w:fldCharType="begin"/>
      </w:r>
      <w:r>
        <w:instrText xml:space="preserve"> ADDIN EN.CITE &lt;EndNote&gt;&lt;Cite AuthorYear="1"&gt;&lt;Author&gt;Einstein&lt;/Author&gt;&lt;Year&gt;2011&lt;/Year&gt;&lt;RecNum&gt;939&lt;/RecNum&gt;&lt;DisplayText&gt;Einstein (2011)&lt;/DisplayText&gt;&lt;record&gt;&lt;rec-number&gt;939&lt;/rec-number&gt;&lt;foreign-keys&gt;&lt;key app="EN" db-id="dfw50pzpwrep2aeerx4v2xdyaa5vzeftr0xv" timestamp="1674195779"&gt;939&lt;/key&gt;&lt;/foreign-keys&gt;&lt;ref-type name="Book"&gt;6&lt;/ref-type&gt;&lt;contributors&gt;&lt;authors&gt;&lt;author&gt;Einstein, Albert&lt;/author&gt;&lt;/authors&gt;&lt;/contributors&gt;&lt;titles&gt;&lt;title&gt;Letters to Solovine, 1906–1955&lt;/title&gt;&lt;/titles&gt;&lt;dates&gt;&lt;year&gt;2011&lt;/year&gt;&lt;/dates&gt;&lt;publisher&gt;Open Road Media&lt;/publisher&gt;&lt;isbn&gt;1453204849&lt;/isbn&gt;&lt;urls&gt;&lt;/urls&gt;&lt;/record&gt;&lt;/Cite&gt;&lt;/EndNote&gt;</w:instrText>
      </w:r>
      <w:r>
        <w:fldChar w:fldCharType="separate"/>
      </w:r>
      <w:r>
        <w:t>Einstein ，2011)</w:t>
      </w:r>
      <w:r>
        <w:fldChar w:fldCharType="end"/>
      </w:r>
      <w:r>
        <w:rPr>
          <w:rFonts w:hint="eastAsia"/>
        </w:rPr>
        <w:t>认为，西方科学的发展基于两个伟大成就：一是希腊哲学家发明的以欧几里德几何学为表现形式的形式逻辑体系，二是文艺复兴时期</w:t>
      </w:r>
      <w:r>
        <w:t>发展起来的</w:t>
      </w:r>
      <w:r>
        <w:rPr>
          <w:rFonts w:hint="eastAsia"/>
        </w:rPr>
        <w:t>验证两个事物之间是否存在因果关系的系统实验。根据上述关于科学的论述和牛顿经典力学三大运动定律的数学表述方式，本文把数学化科学方法论归纳总结为：</w:t>
      </w:r>
      <w:r>
        <w:t>数学化</w:t>
      </w:r>
      <w:r>
        <w:rPr>
          <w:rFonts w:hint="eastAsia"/>
        </w:rPr>
        <w:t>科学理论是为研究某事物</w:t>
      </w:r>
      <w:r>
        <w:t>发展规律</w:t>
      </w:r>
      <w:r>
        <w:rPr>
          <w:rFonts w:hint="eastAsia"/>
        </w:rPr>
        <w:t>的形式逻辑体系，其演绎方式是主观构建</w:t>
      </w:r>
      <w:r>
        <w:t>的</w:t>
      </w:r>
      <w:r>
        <w:rPr>
          <w:rFonts w:hint="eastAsia"/>
        </w:rPr>
        <w:t>数学</w:t>
      </w:r>
      <w:r>
        <w:t>公式</w:t>
      </w:r>
      <w:r>
        <w:rPr>
          <w:rFonts w:hint="eastAsia"/>
        </w:rPr>
        <w:t>。首先是将研究目标抽象成数学体，构建描述该数学体的坐标体系，以确定描述该数学体特性的</w:t>
      </w:r>
      <w:r>
        <w:t>数学</w:t>
      </w:r>
      <w:r>
        <w:rPr>
          <w:rFonts w:hint="eastAsia"/>
        </w:rPr>
        <w:t>变量</w:t>
      </w:r>
      <w:r>
        <w:t>。</w:t>
      </w:r>
      <w:r>
        <w:rPr>
          <w:rFonts w:hint="eastAsia"/>
        </w:rPr>
        <w:t>然后</w:t>
      </w:r>
      <w:r>
        <w:t>提出关于该研究目标的</w:t>
      </w:r>
      <w:r>
        <w:rPr>
          <w:rFonts w:hint="eastAsia"/>
        </w:rPr>
        <w:t>某些</w:t>
      </w:r>
      <w:r>
        <w:t>互相独立的基本活动规律假设</w:t>
      </w:r>
      <w:r>
        <w:rPr>
          <w:rFonts w:hint="eastAsia"/>
        </w:rPr>
        <w:t>，</w:t>
      </w:r>
      <w:r>
        <w:t>并用数学公式式表示该研究目标科学理论的基础逻辑。</w:t>
      </w:r>
      <w:r>
        <w:rPr>
          <w:rFonts w:hint="eastAsia"/>
        </w:rPr>
        <w:t>最后</w:t>
      </w:r>
      <w:r>
        <w:t>在该逻辑的基础上</w:t>
      </w:r>
      <w:r>
        <w:rPr>
          <w:rFonts w:hint="eastAsia"/>
        </w:rPr>
        <w:t>用实验或现实数据</w:t>
      </w:r>
      <w:r>
        <w:t>对研究目标</w:t>
      </w:r>
      <w:r>
        <w:rPr>
          <w:rFonts w:hint="eastAsia"/>
        </w:rPr>
        <w:t>的基本</w:t>
      </w:r>
      <w:r>
        <w:t>活动</w:t>
      </w:r>
      <w:r>
        <w:rPr>
          <w:rFonts w:hint="eastAsia"/>
        </w:rPr>
        <w:t>规律</w:t>
      </w:r>
      <w:r>
        <w:t>和</w:t>
      </w:r>
      <w:r>
        <w:rPr>
          <w:rFonts w:hint="eastAsia"/>
        </w:rPr>
        <w:t>演绎出的</w:t>
      </w:r>
      <w:r>
        <w:t>其它活动</w:t>
      </w:r>
      <w:r>
        <w:rPr>
          <w:rFonts w:hint="eastAsia"/>
        </w:rPr>
        <w:t>规律做实证。</w:t>
      </w:r>
      <w:r>
        <w:t>基本规律</w:t>
      </w:r>
      <w:r>
        <w:rPr>
          <w:rFonts w:hint="eastAsia"/>
        </w:rPr>
        <w:t>假设</w:t>
      </w:r>
      <w:r>
        <w:t>是无法证明的，这是其被称为基本规律</w:t>
      </w:r>
      <w:r>
        <w:rPr>
          <w:rFonts w:hint="eastAsia"/>
        </w:rPr>
        <w:t>假设</w:t>
      </w:r>
      <w:r>
        <w:t>的原因</w:t>
      </w:r>
      <w:r>
        <w:rPr>
          <w:rFonts w:hint="eastAsia"/>
        </w:rPr>
        <w:t>，但</w:t>
      </w:r>
      <w:r>
        <w:t>基本规律</w:t>
      </w:r>
      <w:r>
        <w:rPr>
          <w:rFonts w:hint="eastAsia"/>
        </w:rPr>
        <w:t>假设</w:t>
      </w:r>
      <w:r>
        <w:t>可以用实验或现实数据进行证伪。</w:t>
      </w:r>
      <w:r>
        <w:rPr>
          <w:rFonts w:hint="eastAsia"/>
        </w:rPr>
        <w:t>只有</w:t>
      </w:r>
      <w:r>
        <w:t>基本规律</w:t>
      </w:r>
      <w:r>
        <w:rPr>
          <w:rFonts w:hint="eastAsia"/>
        </w:rPr>
        <w:t>假设</w:t>
      </w:r>
      <w:r>
        <w:t>和</w:t>
      </w:r>
      <w:r>
        <w:rPr>
          <w:rFonts w:hint="eastAsia"/>
        </w:rPr>
        <w:t>演绎出的</w:t>
      </w:r>
      <w:r>
        <w:t>其它活动规律</w:t>
      </w:r>
      <w:r>
        <w:rPr>
          <w:rFonts w:hint="eastAsia"/>
        </w:rPr>
        <w:t>能得到实验或现实数据支持并能通过证伪考验</w:t>
      </w:r>
      <w:r>
        <w:t>，该</w:t>
      </w:r>
      <w:r>
        <w:rPr>
          <w:rFonts w:hint="eastAsia"/>
        </w:rPr>
        <w:t>科学理论才有意义。上述构建科学理论的方法论称为数学化科学方法论。</w:t>
      </w:r>
    </w:p>
    <w:p>
      <w:pPr>
        <w:pStyle w:val="4"/>
        <w:ind w:firstLine="420"/>
      </w:pPr>
      <w:r>
        <w:rPr>
          <w:rFonts w:hint="eastAsia"/>
        </w:rPr>
        <w:t>（二）遵循数学化科学方法论的经济理论</w:t>
      </w:r>
    </w:p>
    <w:p>
      <w:pPr>
        <w:rPr>
          <w:color w:val="231F20"/>
          <w:kern w:val="0"/>
          <w:lang w:bidi="ar"/>
        </w:rPr>
      </w:pPr>
      <w:r>
        <w:rPr>
          <w:rFonts w:hint="eastAsia"/>
          <w:color w:val="231F20"/>
        </w:rPr>
        <w:t>关于什么是经济理论，有过</w:t>
      </w:r>
      <w:r>
        <w:rPr>
          <w:rFonts w:hint="eastAsia"/>
          <w:color w:val="231F20"/>
          <w:lang w:val="en-US" w:eastAsia="zh-CN"/>
        </w:rPr>
        <w:t>各种</w:t>
      </w:r>
      <w:r>
        <w:rPr>
          <w:rFonts w:hint="eastAsia"/>
          <w:color w:val="231F20"/>
        </w:rPr>
        <w:t>阐述。</w:t>
      </w:r>
      <w:r>
        <w:rPr>
          <w:rFonts w:hint="eastAsia"/>
          <w:color w:val="231F20"/>
          <w:lang w:val="en-US" w:eastAsia="zh-CN"/>
        </w:rPr>
        <w:t>瓦尔德（</w:t>
      </w:r>
      <w:r>
        <w:rPr>
          <w:color w:val="231F20"/>
        </w:rPr>
        <w:fldChar w:fldCharType="begin"/>
      </w:r>
      <w:r>
        <w:rPr>
          <w:color w:val="231F20"/>
        </w:rPr>
        <w:instrText xml:space="preserve"> ADDIN EN.CITE &lt;EndNote&gt;&lt;Cite AuthorYear="1"&gt;&lt;Author&gt;Wald&lt;/Author&gt;&lt;Year&gt;1951&lt;/Year&gt;&lt;RecNum&gt;959&lt;/RecNum&gt;&lt;DisplayText&gt;Wald (1951)&lt;/DisplayText&gt;&lt;record&gt;&lt;rec-number&gt;959&lt;/rec-number&gt;&lt;foreign-keys&gt;&lt;key app="EN" db-id="dfw50pzpwrep2aeerx4v2xdyaa5vzeftr0xv" timestamp="1674198151"&gt;959&lt;/key&gt;&lt;/foreign-keys&gt;&lt;ref-type name="Journal Article"&gt;17&lt;/ref-type&gt;&lt;contributors&gt;&lt;authors&gt;&lt;author&gt;Wald, Abraham&lt;/author&gt;&lt;/authors&gt;&lt;/contributors&gt;&lt;titles&gt;&lt;title&gt;On some systems of equations of mathematical economics&lt;/title&gt;&lt;secondary-title&gt;Econometrica: Journal of the Econometric Society&lt;/secondary-title&gt;&lt;/titles&gt;&lt;periodical&gt;&lt;full-title&gt;Econometrica: Journal of the Econometric Society&lt;/full-title&gt;&lt;/periodical&gt;&lt;pages&gt;368-403&lt;/pages&gt;&lt;dates&gt;&lt;year&gt;1951&lt;/year&gt;&lt;/dates&gt;&lt;publisher&gt;JSTOR&lt;/publisher&gt;&lt;isbn&gt;0012-9682&lt;/isbn&gt;&lt;urls&gt;&lt;/urls&gt;&lt;/record&gt;&lt;/Cite&gt;&lt;/EndNote&gt;</w:instrText>
      </w:r>
      <w:r>
        <w:rPr>
          <w:color w:val="231F20"/>
        </w:rPr>
        <w:fldChar w:fldCharType="separate"/>
      </w:r>
      <w:r>
        <w:rPr>
          <w:color w:val="231F20"/>
        </w:rPr>
        <w:t xml:space="preserve">Wald </w:t>
      </w:r>
      <w:r>
        <w:rPr>
          <w:rFonts w:hint="eastAsia"/>
          <w:color w:val="231F20"/>
          <w:lang w:eastAsia="zh-CN"/>
        </w:rPr>
        <w:t>，</w:t>
      </w:r>
      <w:r>
        <w:rPr>
          <w:color w:val="231F20"/>
        </w:rPr>
        <w:t>1951)</w:t>
      </w:r>
      <w:r>
        <w:rPr>
          <w:color w:val="231F20"/>
        </w:rPr>
        <w:fldChar w:fldCharType="end"/>
      </w:r>
      <w:r>
        <w:rPr>
          <w:rFonts w:hint="eastAsia"/>
        </w:rPr>
        <w:t>称经济理论为数学经济学，主张用数学公式和数学关系对经济活动进行分析和表达。但其也指出数学经济学表达的是严格遵守假设条件的理想经济活动的规律，只有真实的经济活动严格精确地符合其假设条件时，数学经济学的结论对现实经济活动分析的结论才成立。</w:t>
      </w:r>
      <w:r>
        <w:rPr>
          <w:rFonts w:hint="eastAsia"/>
          <w:lang w:val="en-US" w:eastAsia="zh-CN"/>
        </w:rPr>
        <w:t>索洛（</w:t>
      </w:r>
      <w:r>
        <w:fldChar w:fldCharType="begin"/>
      </w:r>
      <w:r>
        <w:instrText xml:space="preserve"> ADDIN EN.CITE &lt;EndNote&gt;&lt;Cite AuthorYear="1"&gt;&lt;Author&gt;Solow&lt;/Author&gt;&lt;Year&gt;1956&lt;/Year&gt;&lt;RecNum&gt;958&lt;/RecNum&gt;&lt;DisplayText&gt;Solow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 xml:space="preserve">Solow </w:t>
      </w:r>
      <w:r>
        <w:rPr>
          <w:rFonts w:hint="eastAsia"/>
          <w:lang w:eastAsia="zh-CN"/>
        </w:rPr>
        <w:t>，</w:t>
      </w:r>
      <w:r>
        <w:t>1956)</w:t>
      </w:r>
      <w:r>
        <w:fldChar w:fldCharType="end"/>
      </w:r>
      <w:r>
        <w:rPr>
          <w:rFonts w:hint="eastAsia"/>
        </w:rPr>
        <w:t>认为经济理论建立在若干不完全真实的经过简化的假设基础上，而提出假设需要简化现实经济活动是不可避免的。经济理论的结论往往取决于其关键的假设，如果简化的假设有误，在其基础上构建的经济理论也会出现问题。</w:t>
      </w:r>
      <w:r>
        <w:rPr>
          <w:rFonts w:hint="eastAsia"/>
          <w:lang w:val="en-US" w:eastAsia="zh-CN"/>
        </w:rPr>
        <w:t>卢卡斯（</w:t>
      </w:r>
      <w:r>
        <w:fldChar w:fldCharType="begin"/>
      </w:r>
      <w:r>
        <w:instrText xml:space="preserve"> ADDIN EN.CITE &lt;EndNote&gt;&lt;Cite AuthorYear="1"&gt;&lt;Author&gt;Lucas Jr&lt;/Author&gt;&lt;Year&gt;1988&lt;/Year&gt;&lt;RecNum&gt;954&lt;/RecNum&gt;&lt;DisplayText&gt;Lucas Jr (1988)&lt;/DisplayText&gt;&lt;record&gt;&lt;rec-number&gt;954&lt;/rec-number&gt;&lt;foreign-keys&gt;&lt;key app="EN" db-id="dfw50pzpwrep2aeerx4v2xdyaa5vzeftr0xv" timestamp="1674198044"&gt;954&lt;/key&gt;&lt;/foreign-keys&gt;&lt;ref-type name="Journal Article"&gt;17&lt;/ref-type&gt;&lt;contributors&gt;&lt;authors&gt;&lt;author&gt;Lucas Jr, Robert E.&lt;/author&gt;&lt;/authors&gt;&lt;/contributors&gt;&lt;titles&gt;&lt;title&gt;On the mechanics of economic development&lt;/title&gt;&lt;secondary-title&gt;Journal of monetary economics&lt;/secondary-title&gt;&lt;/titles&gt;&lt;periodical&gt;&lt;full-title&gt;Journal of monetary economics&lt;/full-title&gt;&lt;/periodical&gt;&lt;pages&gt;3-42&lt;/pages&gt;&lt;volume&gt;22&lt;/volume&gt;&lt;number&gt;1&lt;/number&gt;&lt;dates&gt;&lt;year&gt;1988&lt;/year&gt;&lt;/dates&gt;&lt;publisher&gt;Elsevier&lt;/publisher&gt;&lt;isbn&gt;0304-3932&lt;/isbn&gt;&lt;urls&gt;&lt;/urls&gt;&lt;/record&gt;&lt;/Cite&gt;&lt;/EndNote&gt;</w:instrText>
      </w:r>
      <w:r>
        <w:fldChar w:fldCharType="separate"/>
      </w:r>
      <w:r>
        <w:t>Lucas</w:t>
      </w:r>
      <w:r>
        <w:rPr>
          <w:rFonts w:hint="eastAsia"/>
          <w:lang w:eastAsia="zh-CN"/>
        </w:rPr>
        <w:t>，</w:t>
      </w:r>
      <w:r>
        <w:t>1988)</w:t>
      </w:r>
      <w:r>
        <w:fldChar w:fldCharType="end"/>
      </w:r>
      <w:r>
        <w:rPr>
          <w:rFonts w:hint="eastAsia"/>
        </w:rPr>
        <w:t>指出论述的经济理论是狭义的，指的是</w:t>
      </w:r>
      <w:bookmarkEnd w:id="2"/>
      <w:r>
        <w:rPr>
          <w:rFonts w:hint="eastAsia"/>
        </w:rPr>
        <w:t>将现实经济活动的特性通过机人工想象的器人模拟在计算机上计算出来</w:t>
      </w:r>
      <w:r>
        <w:rPr>
          <w:rFonts w:hint="eastAsia"/>
          <w:color w:val="000000"/>
          <w:kern w:val="0"/>
          <w:lang w:bidi="ar"/>
        </w:rPr>
        <w:t>。</w:t>
      </w:r>
      <w:r>
        <w:rPr>
          <w:rFonts w:hint="eastAsia"/>
        </w:rPr>
        <w:t>关于什么是经济理论及其方法论，</w:t>
      </w:r>
      <w:r>
        <w:rPr>
          <w:rFonts w:hint="eastAsia"/>
          <w:lang w:val="en-US" w:eastAsia="zh-CN"/>
        </w:rPr>
        <w:t>弗里德曼（</w:t>
      </w:r>
      <w:r>
        <w:fldChar w:fldCharType="begin"/>
      </w:r>
      <w:r>
        <w:instrText xml:space="preserve"> ADDIN EN.CITE &lt;EndNote&gt;&lt;Cite AuthorYear="1"&gt;&lt;Author&gt;Friedman&lt;/Author&gt;&lt;Year&gt;1953&lt;/Year&gt;&lt;RecNum&gt;950&lt;/RecNum&gt;&lt;DisplayText&gt;Friedman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 xml:space="preserve">Friedman </w:t>
      </w:r>
      <w:r>
        <w:rPr>
          <w:rFonts w:hint="eastAsia"/>
          <w:lang w:eastAsia="zh-CN"/>
        </w:rPr>
        <w:t>，</w:t>
      </w:r>
      <w:r>
        <w:t>1953)</w:t>
      </w:r>
      <w:r>
        <w:fldChar w:fldCharType="end"/>
      </w:r>
      <w:r>
        <w:rPr>
          <w:rFonts w:hint="eastAsia"/>
        </w:rPr>
        <w:t>认为经济学是基于若干被普遍认可的总结而对经济活动的结果和经济环境变化进行预测的实证科学。经济理论实际上是一些综合假设的复合体，其有效的判断标准在于其对真实经济活动是否有良好的预测和解释能力。</w:t>
      </w:r>
      <w:r>
        <w:rPr>
          <w:rFonts w:hint="eastAsia"/>
          <w:color w:val="231F20"/>
          <w:kern w:val="0"/>
          <w:lang w:bidi="ar"/>
        </w:rPr>
        <w:t>如果经济活动结果与经济理论的预测一致，可以说经济活动现实支持这个假设，或者说经济活动的结果不能证伪这个假设，但不代表经济活动的这个结果证明了这个假设，也无法通过考察假设是否与现实一致而判断理论是否正确。</w:t>
      </w:r>
    </w:p>
    <w:p>
      <w:r>
        <w:rPr>
          <w:rFonts w:hint="eastAsia"/>
        </w:rPr>
        <w:t>上述学者论述的经济理论实际上</w:t>
      </w:r>
      <w:r>
        <w:rPr>
          <w:rFonts w:hint="default"/>
        </w:rPr>
        <w:t>是</w:t>
      </w:r>
      <w:r>
        <w:rPr>
          <w:rFonts w:hint="eastAsia"/>
        </w:rPr>
        <w:t>遵循数学化科学方法论的经济理论，但本文认为存在三点不足：第一，没有明确指出经济理论是人们主观构建的形式逻辑体系；第二，没有提出关于市场经济的基本规律假设，新古典学派和凯恩斯学派在阐述其经济理论时也未提出关于市场经济的基本规律假设；第三，新古典学派或凯恩斯学派并没有对主张的经济理论赖以成立的基本规律假设做证伪考验。</w:t>
      </w:r>
      <w:r>
        <w:rPr>
          <w:rFonts w:hint="default"/>
        </w:rPr>
        <w:t>本文认为，</w:t>
      </w:r>
      <w:r>
        <w:rPr>
          <w:rFonts w:ascii="宋体" w:hAnsi="宋体" w:cs="宋体"/>
        </w:rPr>
        <w:t>主流经济理论</w:t>
      </w:r>
      <w:r>
        <w:rPr>
          <w:rFonts w:hint="eastAsia" w:ascii="宋体" w:hAnsi="宋体" w:cs="宋体"/>
        </w:rPr>
        <w:t>一直</w:t>
      </w:r>
      <w:r>
        <w:rPr>
          <w:rFonts w:ascii="宋体" w:hAnsi="宋体" w:cs="宋体"/>
        </w:rPr>
        <w:t>毫无疑问地</w:t>
      </w:r>
      <w:r>
        <w:rPr>
          <w:rFonts w:hint="eastAsia" w:ascii="宋体" w:hAnsi="宋体" w:cs="宋体"/>
        </w:rPr>
        <w:t>认为自由市场经济在理想条件下能自身实现最优化发展，一般均衡是其不言自明</w:t>
      </w:r>
      <w:r>
        <w:rPr>
          <w:rFonts w:ascii="宋体" w:hAnsi="宋体" w:cs="宋体"/>
        </w:rPr>
        <w:t>的基本规律假设</w:t>
      </w:r>
      <w:r>
        <w:rPr>
          <w:rFonts w:hint="eastAsia" w:ascii="宋体" w:hAnsi="宋体" w:cs="宋体"/>
        </w:rPr>
        <w:t>，这是主流经济学家在阐述其经济理论模型时一般不特别指出基本规律假设，也不对其基本规律假设做证伪考验的原因。</w:t>
      </w:r>
    </w:p>
    <w:p>
      <w:r>
        <w:rPr>
          <w:rFonts w:hint="eastAsia"/>
        </w:rPr>
        <w:t>在自然科学中会把所有物体都抽象成数学体，比如运动学中的质点。同样，在经济科学中也可以把市场经济主体（如个人、企业和政府）抽象成数学体。自此之后，经济理论就可以成为规范的科学理论。</w:t>
      </w:r>
    </w:p>
    <w:p>
      <w:r>
        <w:rPr>
          <w:rFonts w:hint="eastAsia"/>
        </w:rPr>
        <w:t>本文将</w:t>
      </w:r>
      <w:r>
        <w:t>遵循数学化科学方法论的市场经济理论总结为：</w:t>
      </w:r>
      <w:r>
        <w:rPr>
          <w:rFonts w:hint="eastAsia"/>
        </w:rPr>
        <w:t>人们为</w:t>
      </w:r>
      <w:r>
        <w:t>研究经济活动规律</w:t>
      </w:r>
      <w:r>
        <w:rPr>
          <w:rFonts w:hint="eastAsia"/>
        </w:rPr>
        <w:t>而主观构建</w:t>
      </w:r>
      <w:r>
        <w:t>的</w:t>
      </w:r>
      <w:r>
        <w:rPr>
          <w:rFonts w:hint="eastAsia"/>
        </w:rPr>
        <w:t>形式逻辑体系，其演绎方式是用数学</w:t>
      </w:r>
      <w:r>
        <w:t>公式</w:t>
      </w:r>
      <w:r>
        <w:rPr>
          <w:rFonts w:hint="eastAsia"/>
        </w:rPr>
        <w:t>表达</w:t>
      </w:r>
      <w:r>
        <w:t>的</w:t>
      </w:r>
      <w:r>
        <w:rPr>
          <w:rFonts w:hint="eastAsia"/>
        </w:rPr>
        <w:t>。首先</w:t>
      </w:r>
      <w:r>
        <w:t>把市场经济主体</w:t>
      </w:r>
      <w:r>
        <w:rPr>
          <w:rFonts w:hint="eastAsia"/>
        </w:rPr>
        <w:t>抽象成数学体，构建坐标体系，确定</w:t>
      </w:r>
      <w:r>
        <w:t>数学</w:t>
      </w:r>
      <w:r>
        <w:rPr>
          <w:rFonts w:hint="eastAsia"/>
        </w:rPr>
        <w:t>变量。然后</w:t>
      </w:r>
      <w:r>
        <w:t>提出关于市场经济的</w:t>
      </w:r>
      <w:r>
        <w:rPr>
          <w:rFonts w:hint="eastAsia"/>
        </w:rPr>
        <w:t>某些</w:t>
      </w:r>
      <w:r>
        <w:t>互相独立的基本规律假设</w:t>
      </w:r>
      <w:r>
        <w:rPr>
          <w:rFonts w:hint="eastAsia"/>
        </w:rPr>
        <w:t>，并</w:t>
      </w:r>
      <w:r>
        <w:t>在</w:t>
      </w:r>
      <w:r>
        <w:rPr>
          <w:rFonts w:hint="eastAsia"/>
        </w:rPr>
        <w:t>此</w:t>
      </w:r>
      <w:r>
        <w:t>基础上演绎</w:t>
      </w:r>
      <w:r>
        <w:rPr>
          <w:rFonts w:hint="eastAsia"/>
        </w:rPr>
        <w:t>市场经济的其它活动规律。最后用实验或现实数据对这些规律做实证。只有</w:t>
      </w:r>
      <w:r>
        <w:t>市场经济基本</w:t>
      </w:r>
      <w:r>
        <w:rPr>
          <w:rFonts w:hint="eastAsia"/>
        </w:rPr>
        <w:t>假设和</w:t>
      </w:r>
      <w:r>
        <w:t>在</w:t>
      </w:r>
      <w:r>
        <w:rPr>
          <w:rFonts w:hint="eastAsia"/>
        </w:rPr>
        <w:t>基本规律假设</w:t>
      </w:r>
      <w:r>
        <w:t>基础上</w:t>
      </w:r>
      <w:r>
        <w:rPr>
          <w:rFonts w:hint="eastAsia"/>
        </w:rPr>
        <w:t>演绎出的市场经济</w:t>
      </w:r>
      <w:r>
        <w:t>其它活动规律</w:t>
      </w:r>
      <w:r>
        <w:rPr>
          <w:rFonts w:hint="eastAsia"/>
        </w:rPr>
        <w:t>能得到实验数据或现实数据支持，同时经得其任何实验数据或现实数据的证伪考验</w:t>
      </w:r>
      <w:r>
        <w:t>，该经济理论</w:t>
      </w:r>
      <w:r>
        <w:rPr>
          <w:rFonts w:hint="eastAsia"/>
        </w:rPr>
        <w:t>才有意义。</w:t>
      </w:r>
    </w:p>
    <w:p>
      <w:pPr>
        <w:pStyle w:val="4"/>
        <w:ind w:firstLine="420"/>
      </w:pPr>
      <w:r>
        <w:rPr>
          <w:rFonts w:hint="eastAsia"/>
        </w:rPr>
        <w:t>（三）主流市场经济理论及其基本规律假设</w:t>
      </w:r>
    </w:p>
    <w:p>
      <w:r>
        <w:rPr>
          <w:rFonts w:hint="eastAsia"/>
        </w:rPr>
        <w:t>新古典学派和凯恩斯学派一般被称为主流经济理论，关于市场经济的基本规律假设，主流经济理论有重要影响的经济理论著作或论文包括：1776年亚当•斯密发表《</w:t>
      </w:r>
      <w:r>
        <w:rPr>
          <w:rFonts w:hint="eastAsia"/>
          <w:lang w:val="en-US" w:eastAsia="zh-CN"/>
        </w:rPr>
        <w:t>国民财富的性质与原因研究（国富论）</w:t>
      </w:r>
      <w:r>
        <w:rPr>
          <w:rFonts w:hint="eastAsia"/>
        </w:rPr>
        <w:t>》，认为在没有政府干预的简单经济体系里市场看不见的手使劳动力自动地实现优化社会分工，使市场经济能自身实现最优化发展</w:t>
      </w:r>
      <w:r>
        <w:fldChar w:fldCharType="begin"/>
      </w:r>
      <w:r>
        <w:instrText xml:space="preserve"> ADDIN EN.CITE &lt;EndNote&gt;&lt;Cite&gt;&lt;Author&gt;Smith&lt;/Author&gt;&lt;Year&gt;1776&lt;/Year&gt;&lt;RecNum&gt;965&lt;/RecNum&gt;&lt;DisplayText&gt;(Smith, 1776)&lt;/DisplayText&gt;&lt;record&gt;&lt;rec-number&gt;965&lt;/rec-number&gt;&lt;foreign-keys&gt;&lt;key app="EN" db-id="dfw50pzpwrep2aeerx4v2xdyaa5vzeftr0xv" timestamp="1675571693"&gt;965&lt;/key&gt;&lt;/foreign-keys&gt;&lt;ref-type name="Book Section"&gt;5&lt;/ref-type&gt;&lt;contributors&gt;&lt;authors&gt;&lt;author&gt;Smith, Adam&lt;/author&gt;&lt;/authors&gt;&lt;/contributors&gt;&lt;titles&gt;&lt;title&gt;An inquiry into the nature and causes of the wealth of nations: Volume One&lt;/title&gt;&lt;/titles&gt;&lt;dates&gt;&lt;year&gt;1776&lt;/year&gt;&lt;/dates&gt;&lt;publisher&gt;London: printed for W. Strahan; and T. Cadell, 1776.&lt;/publisher&gt;&lt;urls&gt;&lt;/urls&gt;&lt;/record&gt;&lt;/Cite&gt;&lt;/EndNote&gt;</w:instrText>
      </w:r>
      <w:r>
        <w:fldChar w:fldCharType="separate"/>
      </w:r>
      <w:r>
        <w:t>(Smith, 1776)</w:t>
      </w:r>
      <w:r>
        <w:fldChar w:fldCharType="end"/>
      </w:r>
      <w:r>
        <w:rPr>
          <w:rFonts w:hint="eastAsia"/>
        </w:rPr>
        <w:t>。1874年瓦尔拉斯发表《纯粹政治经济学刚要》开创了一般均衡理论，1890年阿尔弗雷德•马歇尔1890年发表《经济学原理》建立了新古典学派的均衡分析方法</w:t>
      </w:r>
      <w:r>
        <w:fldChar w:fldCharType="begin"/>
      </w:r>
      <w:r>
        <w:rPr>
          <w:rFonts w:hint="eastAsia"/>
        </w:rPr>
        <w:instrText xml:space="preserve"> ADDIN EN.CITE &lt;EndNote&gt;&lt;Cite&gt;&lt;Author&gt;付才辉&lt;/Author&gt;&lt;Year&gt;2018&lt;/Year&gt;&lt;RecNum&gt;963&lt;/RecNum&gt;&lt;DisplayText&gt;(付才辉, 2018)&lt;/DisplayText&gt;&lt;record&gt;&lt;rec-number&gt;963&lt;/rec-number&gt;&lt;foreign-keys&gt;&lt;key app="EN" db-id="dfw50pzpwrep2aeerx4v2xdyaa5vzeftr0xv" timestamp="1674698370"&gt;963&lt;/key&gt;&lt;/foreign-keys&gt;&lt;ref-type name="Journal Article"&gt;17&lt;/ref-type&gt;&lt;contributors&gt;&lt;authors&gt;&lt;author&gt;&lt;style face="normal" font="default" charset="134" size="100%"&gt;付才辉&lt;/style&gt;&lt;/author&gt;&lt;/authors&gt;&lt;/contributors&gt;&lt;titles&gt;&lt;title&gt;&lt;style face="normal" font="default" charset="134" size="100%"&gt;最优生产函数理论——从新古典经济学向新结构经济学的范式转换&lt;/style&gt;&lt;/title&gt;&lt;secondary-title&gt;&lt;style face="normal" font="default" charset="134" size="100%"&gt;经济评论&lt;/style&gt;&lt;/secondary-title&gt;&lt;/titles&gt;&lt;periodical&gt;&lt;full-title&gt;经济评论&lt;/full-title&gt;&lt;/periodical&gt;&lt;pages&gt;3-46&lt;/pages&gt;&lt;number&gt;01&lt;/number&gt;&lt;keywords&gt;&lt;keyword&gt;新古典经济学&lt;/keyword&gt;&lt;keyword&gt;新结构经济学&lt;/keyword&gt;&lt;keyword&gt;马克思政治经济学&lt;/keyword&gt;&lt;keyword&gt;最优生产函数&lt;/keyword&gt;&lt;/keywords&gt;&lt;dates&gt;&lt;year&gt;2018&lt;/year&gt;&lt;/dates&gt;&lt;urls&gt;&lt;/urls&gt;&lt;/record&gt;&lt;/Cite&gt;&lt;/EndNote&gt;</w:instrText>
      </w:r>
      <w:r>
        <w:fldChar w:fldCharType="separate"/>
      </w:r>
      <w:r>
        <w:rPr>
          <w:rFonts w:hint="eastAsia"/>
        </w:rPr>
        <w:t>(付才辉, 2018)</w:t>
      </w:r>
      <w:r>
        <w:fldChar w:fldCharType="end"/>
      </w:r>
      <w:r>
        <w:rPr>
          <w:rFonts w:hint="eastAsia"/>
        </w:rPr>
        <w:t>。1937年凯恩斯发表《</w:t>
      </w:r>
      <w:r>
        <w:rPr>
          <w:rFonts w:hint="eastAsia"/>
          <w:lang w:val="en-US" w:eastAsia="zh-CN"/>
        </w:rPr>
        <w:t>就业</w:t>
      </w:r>
      <w:r>
        <w:rPr>
          <w:rFonts w:hint="eastAsia" w:ascii="微软雅黑" w:hAnsi="微软雅黑" w:eastAsia="微软雅黑" w:cs="微软雅黑"/>
          <w:lang w:val="en-US" w:eastAsia="zh-CN"/>
        </w:rPr>
        <w:t>、</w:t>
      </w:r>
      <w:r>
        <w:rPr>
          <w:rFonts w:hint="eastAsia"/>
          <w:lang w:val="en-US" w:eastAsia="zh-CN"/>
        </w:rPr>
        <w:t>利息与货币通论</w:t>
      </w:r>
      <w:r>
        <w:rPr>
          <w:rFonts w:hint="eastAsia"/>
        </w:rPr>
        <w:t>》，认为自由市场经济能自身实现最优化发展是一种理想情况，现实经济活动由于工资粘性，市场经济主体信息不完备和不够理性等原因不能自身实现最优化发展</w:t>
      </w:r>
      <w:r>
        <w:fldChar w:fldCharType="begin"/>
      </w:r>
      <w: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fldChar w:fldCharType="separate"/>
      </w:r>
      <w:r>
        <w:t>(Keynes, 1937)</w:t>
      </w:r>
      <w:r>
        <w:fldChar w:fldCharType="end"/>
      </w:r>
      <w:r>
        <w:rPr>
          <w:rFonts w:hint="eastAsia"/>
        </w:rPr>
        <w:t>。凯恩斯没有构建关于市场经济的数学模型。1937年希克斯发表《</w:t>
      </w:r>
      <w:r>
        <w:rPr>
          <w:rFonts w:hint="eastAsia"/>
          <w:lang w:val="en-US" w:eastAsia="zh-CN"/>
        </w:rPr>
        <w:t>凯恩斯与经典经济学；一种解读</w:t>
      </w:r>
      <w:r>
        <w:rPr>
          <w:rFonts w:hint="eastAsia"/>
        </w:rPr>
        <w:t>》，认为投资（储蓄），消费，货币供应量，社会产出，利率等变量之间存在互相影响的关系，并且存在一个优化稳定均衡点。具体来说，投资与利率关系曲线，货币供应量与利率关系曲线，这两条曲线的交叉点是优化稳定均衡利率点，由优化稳定均衡利率点可以推导出优化稳定均衡的社会产出</w:t>
      </w:r>
      <w:r>
        <w:fldChar w:fldCharType="begin"/>
      </w:r>
      <w:r>
        <w:instrText xml:space="preserve"> ADDIN EN.CITE &lt;EndNote&gt;&lt;Cite&gt;&lt;Author&gt;Hicks&lt;/Author&gt;&lt;Year&gt;1937&lt;/Year&gt;&lt;RecNum&gt;966&lt;/RecNum&gt;&lt;DisplayText&gt;(Hicks, 1937)&lt;/DisplayText&gt;&lt;record&gt;&lt;rec-number&gt;966&lt;/rec-number&gt;&lt;foreign-keys&gt;&lt;key app="EN" db-id="dfw50pzpwrep2aeerx4v2xdyaa5vzeftr0xv" timestamp="1675664810"&gt;966&lt;/key&gt;&lt;/foreign-keys&gt;&lt;ref-type name="Journal Article"&gt;17&lt;/ref-type&gt;&lt;contributors&gt;&lt;authors&gt;&lt;author&gt;Hicks, John R.&lt;/author&gt;&lt;/authors&gt;&lt;/contributors&gt;&lt;titles&gt;&lt;title&gt;Mr. Keynes and the&amp;quot; classics&amp;quot;; a suggested interpretation&lt;/title&gt;&lt;secondary-title&gt;Econometrica: journal of the Econometric Society&lt;/secondary-title&gt;&lt;/titles&gt;&lt;periodical&gt;&lt;full-title&gt;Econometrica: Journal of the Econometric Society&lt;/full-title&gt;&lt;/periodical&gt;&lt;pages&gt;147-159&lt;/pages&gt;&lt;dates&gt;&lt;year&gt;1937&lt;/year&gt;&lt;/dates&gt;&lt;publisher&gt;JSTOR&lt;/publisher&gt;&lt;isbn&gt;0012-9682&lt;/isbn&gt;&lt;urls&gt;&lt;/urls&gt;&lt;/record&gt;&lt;/Cite&gt;&lt;/EndNote&gt;</w:instrText>
      </w:r>
      <w:r>
        <w:fldChar w:fldCharType="separate"/>
      </w:r>
      <w:r>
        <w:t>(Hicks, 1937)</w:t>
      </w:r>
      <w:r>
        <w:fldChar w:fldCharType="end"/>
      </w:r>
      <w:r>
        <w:rPr>
          <w:rFonts w:hint="eastAsia"/>
        </w:rPr>
        <w:t>。希克斯的上述两条关系曲线被认为是凯恩斯学派的数学模型，以这两条关系曲线为基础的经济理论被称为凯恩斯学派。1954年阿罗</w:t>
      </w:r>
      <w:r>
        <w:rPr>
          <w:rFonts w:hint="eastAsia"/>
          <w:lang w:val="en-US" w:eastAsia="zh-CN"/>
        </w:rPr>
        <w:t>-</w:t>
      </w:r>
      <w:r>
        <w:rPr>
          <w:rFonts w:hint="eastAsia"/>
        </w:rPr>
        <w:t>德布鲁构建了一个数学抽象意义上存在一般均衡即商品交换竞争性均衡，商品生产竞争性均衡和商品消费时间优化路径的自由市场经济体。其商品交换存在竞争性均衡的前提条件是被交换的商品数量是有限的，商品生产存在竞争性均衡的前提条件是每一种商品的生产都符合封闭凸性子集的要求，商品效用消费存在效用优化的前提条件是每个消费者获得的商品满足凸性子集的条件</w:t>
      </w:r>
      <w:r>
        <w:fldChar w:fldCharType="begin"/>
      </w:r>
      <w:r>
        <w:instrText xml:space="preserve"> ADDIN EN.CITE &lt;EndNote&gt;&lt;Cite&gt;&lt;Author&gt;Arrow&lt;/Author&gt;&lt;Year&gt;1954&lt;/Year&gt;&lt;RecNum&gt;942&lt;/RecNum&gt;&lt;DisplayText&gt;(Kenneth J. Arrow &amp;amp; Debreu, 1954)&lt;/DisplayText&gt;&lt;record&gt;&lt;rec-number&gt;942&lt;/rec-number&gt;&lt;foreign-keys&gt;&lt;key app="EN" db-id="dfw50pzpwrep2aeerx4v2xdyaa5vzeftr0xv" timestamp="1674197497"&gt;942&lt;/key&gt;&lt;/foreign-keys&gt;&lt;ref-type name="Journal Article"&gt;17&lt;/ref-type&gt;&lt;contributors&gt;&lt;authors&gt;&lt;author&gt;Arrow, Kenneth J.&lt;/author&gt;&lt;author&gt;Debreu, Gerard&lt;/author&gt;&lt;/authors&gt;&lt;/contributors&gt;&lt;titles&gt;&lt;title&gt;Existence of an equilibrium for a competitive economy&lt;/title&gt;&lt;secondary-title&gt;Econometrica: Journal of the Econometric Society&lt;/secondary-title&gt;&lt;/titles&gt;&lt;periodical&gt;&lt;full-title&gt;Econometrica: Journal of the Econometric Society&lt;/full-title&gt;&lt;/periodical&gt;&lt;pages&gt;265-290&lt;/pages&gt;&lt;dates&gt;&lt;year&gt;1954&lt;/year&gt;&lt;/dates&gt;&lt;publisher&gt;JSTOR&lt;/publisher&gt;&lt;isbn&gt;0012-9682&lt;/isbn&gt;&lt;urls&gt;&lt;/urls&gt;&lt;/record&gt;&lt;/Cite&gt;&lt;/EndNote&gt;</w:instrText>
      </w:r>
      <w:r>
        <w:fldChar w:fldCharType="separate"/>
      </w:r>
      <w:r>
        <w:t>(Kenneth J. Arrow &amp; Debreu, 1954)</w:t>
      </w:r>
      <w:r>
        <w:fldChar w:fldCharType="end"/>
      </w:r>
      <w:r>
        <w:rPr>
          <w:rFonts w:hint="eastAsia"/>
        </w:rPr>
        <w:t>。1956年索洛用资本积累与劳动力的比例为核心变量阐述经济活动达到竞争性优化稳定状态的具体机制。设K为资本积累，L为劳动力，r=K/L。当r对时间的一阶求导等于零时，即当</w:t>
      </w:r>
      <m:oMath>
        <m:f>
          <m:fPr>
            <m:type m:val="lin"/>
            <m:ctrlPr>
              <w:rPr>
                <w:rFonts w:hint="eastAsia" w:ascii="Cambria Math" w:hAnsi="Cambria Math" w:cs="宋体"/>
                <w:i/>
              </w:rPr>
            </m:ctrlPr>
          </m:fPr>
          <m:num>
            <m:r>
              <m:rPr/>
              <w:rPr>
                <w:rFonts w:hint="eastAsia" w:ascii="Cambria Math" w:hAnsi="Cambria Math" w:cs="宋体"/>
              </w:rPr>
              <m:t>dr</m:t>
            </m:r>
            <m:ctrlPr>
              <w:rPr>
                <w:rFonts w:hint="eastAsia" w:ascii="Cambria Math" w:hAnsi="Cambria Math" w:cs="宋体"/>
                <w:i/>
              </w:rPr>
            </m:ctrlPr>
          </m:num>
          <m:den>
            <m:r>
              <m:rPr/>
              <w:rPr>
                <w:rFonts w:hint="eastAsia" w:ascii="Cambria Math" w:hAnsi="Cambria Math" w:cs="宋体"/>
              </w:rPr>
              <m:t>dt=0</m:t>
            </m:r>
            <m:ctrlPr>
              <w:rPr>
                <w:rFonts w:hint="eastAsia" w:ascii="Cambria Math" w:hAnsi="Cambria Math" w:cs="宋体"/>
                <w:i/>
              </w:rPr>
            </m:ctrlPr>
          </m:den>
        </m:f>
      </m:oMath>
      <w:r>
        <w:rPr>
          <w:rFonts w:hint="eastAsia"/>
        </w:rPr>
        <w:t>时，资本积累与劳动力的比例为r*。索洛模型成立的前提是：r*为均衡稳定点。当r&lt;r*时，市场调节将会使r增加，即资本积累K会增加直至r=r*；当r&gt;r*时，市场调节将会使r减少，即资本积累K会减少直至r=r*。索洛模型认为在r*均衡稳定点，自由市场竞争将实现劳动力全就业和资本积累完全使用</w:t>
      </w:r>
      <w:r>
        <w:fldChar w:fldCharType="begin"/>
      </w:r>
      <w:r>
        <w:instrText xml:space="preserve"> ADDIN EN.CITE &lt;EndNote&gt;&lt;Cite&gt;&lt;Author&gt;Solow&lt;/Author&gt;&lt;Year&gt;1956&lt;/Year&gt;&lt;RecNum&gt;958&lt;/RecNum&gt;&lt;DisplayText&gt;(Solow,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rPr>
        <w:t>。1979年克鲁格曼发表《</w:t>
      </w:r>
      <w:r>
        <w:rPr>
          <w:rFonts w:hint="eastAsia"/>
          <w:lang w:val="en-US" w:eastAsia="zh-CN"/>
        </w:rPr>
        <w:t>国际收支平衡危机模型</w:t>
      </w:r>
      <w:r>
        <w:rPr>
          <w:rFonts w:hint="eastAsia"/>
        </w:rPr>
        <w:t>》,隐含汇率存在竞争性均衡</w:t>
      </w:r>
      <w:r>
        <w:fldChar w:fldCharType="begin"/>
      </w:r>
      <w:r>
        <w:instrText xml:space="preserve"> ADDIN EN.CITE &lt;EndNote&gt;&lt;Cite&gt;&lt;Author&gt;Krugman&lt;/Author&gt;&lt;Year&gt;1979&lt;/Year&gt;&lt;RecNum&gt;953&lt;/RecNum&gt;&lt;DisplayText&gt;(Krugman, 1979)&lt;/DisplayText&gt;&lt;record&gt;&lt;rec-number&gt;953&lt;/rec-number&gt;&lt;foreign-keys&gt;&lt;key app="EN" db-id="dfw50pzpwrep2aeerx4v2xdyaa5vzeftr0xv" timestamp="1674198020"&gt;953&lt;/key&gt;&lt;/foreign-keys&gt;&lt;ref-type name="Journal Article"&gt;17&lt;/ref-type&gt;&lt;contributors&gt;&lt;authors&gt;&lt;author&gt;Krugman, Paul&lt;/author&gt;&lt;/authors&gt;&lt;/contributors&gt;&lt;titles&gt;&lt;title&gt;A model of balance-of-payments crises&lt;/title&gt;&lt;secondary-title&gt;Journal of money, credit and banking&lt;/secondary-title&gt;&lt;/titles&gt;&lt;periodical&gt;&lt;full-title&gt;Journal of money, credit and banking&lt;/full-title&gt;&lt;/periodical&gt;&lt;pages&gt;311-325&lt;/pages&gt;&lt;volume&gt;11&lt;/volume&gt;&lt;number&gt;3&lt;/number&gt;&lt;dates&gt;&lt;year&gt;1979&lt;/year&gt;&lt;/dates&gt;&lt;publisher&gt;JSTOR&lt;/publisher&gt;&lt;isbn&gt;0022-2879&lt;/isbn&gt;&lt;urls&gt;&lt;/urls&gt;&lt;/record&gt;&lt;/Cite&gt;&lt;/EndNote&gt;</w:instrText>
      </w:r>
      <w:r>
        <w:fldChar w:fldCharType="separate"/>
      </w:r>
      <w:r>
        <w:t>(Krugman, 1979)</w:t>
      </w:r>
      <w:r>
        <w:fldChar w:fldCharType="end"/>
      </w:r>
      <w:r>
        <w:rPr>
          <w:rFonts w:hint="eastAsia"/>
        </w:rPr>
        <w:t>。罗默在索洛模型的基础上构建了知识是经济增长内生变量的数学模型，解释了美国等发达国家经济持续增长的现象，也解释了发达国家与发展中国家经济差距越来越大的现象</w:t>
      </w:r>
      <w:r>
        <w:fldChar w:fldCharType="begin"/>
      </w:r>
      <w:r>
        <w:instrText xml:space="preserve"> ADDIN EN.CITE &lt;EndNote&gt;&lt;Cite&gt;&lt;Author&gt;Romer&lt;/Author&gt;&lt;Year&gt;1990&lt;/Year&gt;&lt;RecNum&gt;957&lt;/RecNum&gt;&lt;DisplayText&gt;(Romer, 1990)&lt;/DisplayText&gt;&lt;record&gt;&lt;rec-number&gt;957&lt;/rec-number&gt;&lt;foreign-keys&gt;&lt;key app="EN" db-id="dfw50pzpwrep2aeerx4v2xdyaa5vzeftr0xv" timestamp="1674198112"&gt;957&lt;/key&gt;&lt;/foreign-keys&gt;&lt;ref-type name="Journal Article"&gt;17&lt;/ref-type&gt;&lt;contributors&gt;&lt;authors&gt;&lt;author&gt;Romer, Paul M.&lt;/author&gt;&lt;/authors&gt;&lt;/contributors&gt;&lt;titles&gt;&lt;title&gt;Endogenous technological change&lt;/title&gt;&lt;secondary-title&gt;Journal of political Economy&lt;/secondary-title&gt;&lt;/titles&gt;&lt;periodical&gt;&lt;full-title&gt;Journal of political economy&lt;/full-title&gt;&lt;/periodical&gt;&lt;pages&gt;S71-S102&lt;/pages&gt;&lt;volume&gt;98&lt;/volume&gt;&lt;number&gt;5, Part 2&lt;/number&gt;&lt;dates&gt;&lt;year&gt;1990&lt;/year&gt;&lt;/dates&gt;&lt;publisher&gt;The University of Chicago Press&lt;/publisher&gt;&lt;isbn&gt;0022-3808&lt;/isbn&gt;&lt;urls&gt;&lt;/urls&gt;&lt;/record&gt;&lt;/Cite&gt;&lt;/EndNote&gt;</w:instrText>
      </w:r>
      <w:r>
        <w:fldChar w:fldCharType="separate"/>
      </w:r>
      <w:r>
        <w:t>(Romer, 1990)</w:t>
      </w:r>
      <w:r>
        <w:fldChar w:fldCharType="end"/>
      </w:r>
      <w:r>
        <w:rPr>
          <w:rFonts w:hint="eastAsia"/>
        </w:rPr>
        <w:t>。2021年鲍尔和曼昆在索洛模型的基础上提出了优化的新古典学派经济理论模型，提出了企业市场力的假设，解释了美国等高科技企业资本回报率高于资本市场利率的现象</w:t>
      </w:r>
      <w:r>
        <w:fldChar w:fldCharType="begin"/>
      </w:r>
      <w:r>
        <w:instrText xml:space="preserve"> ADDIN EN.CITE &lt;EndNote&gt;&lt;Cite&gt;&lt;Author&gt;Ball&lt;/Author&gt;&lt;Year&gt;2021&lt;/Year&gt;&lt;RecNum&gt;944&lt;/RecNum&gt;&lt;DisplayText&gt;(Ball &amp;amp; Mankiw, 2021)&lt;/DisplayText&gt;&lt;record&gt;&lt;rec-number&gt;944&lt;/rec-number&gt;&lt;foreign-keys&gt;&lt;key app="EN" db-id="dfw50pzpwrep2aeerx4v2xdyaa5vzeftr0xv" timestamp="1674197547"&gt;944&lt;/key&gt;&lt;/foreign-keys&gt;&lt;ref-type name="Report"&gt;27&lt;/ref-type&gt;&lt;contributors&gt;&lt;authors&gt;&lt;author&gt;Ball, Laurence M.&lt;/author&gt;&lt;author&gt;Mankiw, N. Gregory&lt;/author&gt;&lt;/authors&gt;&lt;/contributors&gt;&lt;titles&gt;&lt;title&gt;Market power in neoclassical growth models&lt;/title&gt;&lt;/titles&gt;&lt;dates&gt;&lt;year&gt;2021&lt;/year&gt;&lt;/dates&gt;&lt;publisher&gt;National Bureau of Economic Research&lt;/publisher&gt;&lt;urls&gt;&lt;/urls&gt;&lt;/record&gt;&lt;/Cite&gt;&lt;/EndNote&gt;</w:instrText>
      </w:r>
      <w:r>
        <w:fldChar w:fldCharType="separate"/>
      </w:r>
      <w:r>
        <w:t>(Ball &amp; Mankiw, 2021)</w:t>
      </w:r>
      <w:r>
        <w:fldChar w:fldCharType="end"/>
      </w:r>
      <w:r>
        <w:rPr>
          <w:rFonts w:hint="eastAsia"/>
        </w:rPr>
        <w:t>。</w:t>
      </w:r>
    </w:p>
    <w:p>
      <w:pPr>
        <w:ind w:firstLine="210" w:firstLineChars="100"/>
      </w:pPr>
      <w:r>
        <w:rPr>
          <w:rFonts w:hint="eastAsia"/>
        </w:rPr>
        <w:t>主流经济理论还有很多研究成果，归纳起来其关于市场经济的基本规律假设或者是亚当•斯密的自由市场经济通过市场看不见手的调节自身能实现最优化发展；或者是阿罗-德布鲁模型中的自由市场经济存在商品交换竞争性均衡，商品生产竞争性均衡和商品消费时间优化路径的一般均衡；或者是索洛的自由市场经济能自身实现劳动力全就业和资本积累完全使用；或者是希克斯关于市场经济存在均衡市场利率，政府支出的最佳点是使市场利率等于均衡利率。前三者被称为新古典学派，第四个被称为凯恩斯学派。</w:t>
      </w:r>
    </w:p>
    <w:p>
      <w:pPr>
        <w:pStyle w:val="4"/>
        <w:ind w:firstLine="420"/>
      </w:pPr>
      <w:r>
        <w:rPr>
          <w:rFonts w:hint="eastAsia"/>
        </w:rPr>
        <w:t>（四）主流经济理论中假设性</w:t>
      </w:r>
      <w:r>
        <w:rPr>
          <w:rFonts w:hint="eastAsia"/>
          <w:lang w:val="en-US" w:eastAsia="zh-CN"/>
        </w:rPr>
        <w:t>过</w:t>
      </w:r>
      <w:r>
        <w:rPr>
          <w:rFonts w:hint="eastAsia"/>
        </w:rPr>
        <w:t>强的基本规律假设</w:t>
      </w:r>
    </w:p>
    <w:p>
      <w:r>
        <w:rPr>
          <w:rFonts w:hint="eastAsia"/>
        </w:rPr>
        <w:t>经济理论是人们为研究经济活动规律而主观构建的关于经济活动规律的逻辑体系，其关于市场经济的基本规律假设是经济理论的逻辑前提。不同的经济学家提出不同的关于经济活动的基本规律假设，形成不同的经济理论学派。任何关于经济活动的基本规律假设都是经济学家主观构建的，是数学抽象意义上的理想假设，与市场经济现实必然存在一定的差异。但如果经济现实与基本规律假设的差异太大，则认为其假设性</w:t>
      </w:r>
      <w:r>
        <w:rPr>
          <w:rFonts w:hint="eastAsia"/>
          <w:lang w:val="en-US" w:eastAsia="zh-CN"/>
        </w:rPr>
        <w:t>过</w:t>
      </w:r>
      <w:r>
        <w:rPr>
          <w:rFonts w:hint="eastAsia"/>
        </w:rPr>
        <w:t>强，主流经济理论若干基本规律假设存在这种情况，下面具体讨论。</w:t>
      </w:r>
    </w:p>
    <w:p>
      <w:pPr>
        <w:pStyle w:val="31"/>
        <w:numPr>
          <w:ilvl w:val="0"/>
          <w:numId w:val="1"/>
        </w:numPr>
        <w:ind w:firstLineChars="0"/>
      </w:pPr>
      <w:r>
        <w:t>非投资品商品交换存在优化竞争性均衡</w:t>
      </w:r>
    </w:p>
    <w:p>
      <w:r>
        <w:rPr>
          <w:rFonts w:hint="eastAsia"/>
        </w:rPr>
        <w:t>本文定义被交换的次数为有限</w:t>
      </w:r>
      <w:r>
        <w:t>次</w:t>
      </w:r>
      <w:r>
        <w:rPr>
          <w:rFonts w:hint="eastAsia"/>
        </w:rPr>
        <w:t>的商品为</w:t>
      </w:r>
      <w:r>
        <w:t>非投资品商品</w:t>
      </w:r>
      <w:r>
        <w:rPr>
          <w:rFonts w:hint="eastAsia"/>
        </w:rPr>
        <w:t>，</w:t>
      </w:r>
      <w:r>
        <w:t>被交换的次数为无限次的商品为投资品</w:t>
      </w:r>
      <w:r>
        <w:rPr>
          <w:rFonts w:hint="eastAsia"/>
        </w:rPr>
        <w:t>商品</w:t>
      </w:r>
      <w:r>
        <w:t>。</w:t>
      </w:r>
      <w:r>
        <w:rPr>
          <w:rFonts w:hint="eastAsia"/>
        </w:rPr>
        <w:t>用数学形式表达为：</w:t>
      </w:r>
      <w:r>
        <w:rPr>
          <w:rFonts w:ascii="Cambria Math" w:hAnsi="Cambria Math" w:cs="Cambria Math"/>
          <w:szCs w:val="21"/>
        </w:rPr>
        <w:t>非</w:t>
      </w:r>
      <w:r>
        <w:rPr>
          <w:rFonts w:hint="eastAsia" w:ascii="Cambria Math" w:hAnsi="Cambria Math" w:cs="Cambria Math"/>
          <w:szCs w:val="21"/>
        </w:rPr>
        <w:t>投资品商品</w:t>
      </w:r>
      <m:oMath>
        <m:r>
          <m:rPr>
            <m:sty m:val="p"/>
          </m:rPr>
          <w:rPr>
            <w:rFonts w:ascii="Cambria Math" w:hAnsi="Cambria Math"/>
          </w:rPr>
          <m:t>∪</m:t>
        </m:r>
      </m:oMath>
      <w:r>
        <w:t>投资品商品=商品</w:t>
      </w:r>
      <w:r>
        <w:rPr>
          <w:rFonts w:hint="eastAsia"/>
        </w:rPr>
        <w:t>，</w:t>
      </w:r>
      <w:r>
        <w:t>非投资品商品</w:t>
      </w:r>
      <m:oMath>
        <m:r>
          <m:rPr>
            <m:sty m:val="p"/>
          </m:rPr>
          <w:rPr>
            <w:rFonts w:ascii="Cambria Math" w:hAnsi="Cambria Math"/>
          </w:rPr>
          <m:t>∩</m:t>
        </m:r>
      </m:oMath>
      <w:r>
        <w:t>投资品商品=0</w:t>
      </w:r>
      <w:r>
        <w:rPr>
          <w:rFonts w:hint="eastAsia"/>
        </w:rPr>
        <w:t>。</w:t>
      </w:r>
    </w:p>
    <w:p>
      <w:pPr>
        <w:rPr>
          <w:rFonts w:asciiTheme="minorEastAsia" w:hAnsiTheme="minorEastAsia" w:eastAsiaTheme="minorEastAsia" w:cstheme="minorEastAsia"/>
        </w:rPr>
      </w:pPr>
      <w:r>
        <w:rPr>
          <w:rFonts w:hint="eastAsia"/>
        </w:rPr>
        <w:t>阿罗-德布鲁模型关于商品交换</w:t>
      </w:r>
      <w:r>
        <w:rPr>
          <w:rFonts w:hint="eastAsia" w:asciiTheme="minorEastAsia" w:hAnsiTheme="minorEastAsia" w:eastAsiaTheme="minorEastAsia" w:cstheme="minorEastAsia"/>
        </w:rPr>
        <w:t>存在优化竞争性均衡的前提条件</w:t>
      </w:r>
      <w:r>
        <w:rPr>
          <w:rFonts w:asciiTheme="minorEastAsia" w:hAnsiTheme="minorEastAsia" w:eastAsiaTheme="minorEastAsia" w:cstheme="minorEastAsia"/>
        </w:rPr>
        <w:t>是被</w:t>
      </w:r>
      <w:r>
        <w:rPr>
          <w:rFonts w:hint="eastAsia"/>
        </w:rPr>
        <w:t>交换的商品数量是有限的并且任一商品被交换的次数也是有限的</w:t>
      </w:r>
      <w:r>
        <w:t>，上述定义的</w:t>
      </w:r>
      <w:r>
        <w:rPr>
          <w:rFonts w:hint="eastAsia"/>
        </w:rPr>
        <w:t>非投资品</w:t>
      </w:r>
      <w:r>
        <w:t>商品</w:t>
      </w:r>
      <w:r>
        <w:rPr>
          <w:rFonts w:hint="eastAsia"/>
        </w:rPr>
        <w:t>交换</w:t>
      </w:r>
      <w:r>
        <w:t>符合这个条件</w:t>
      </w:r>
      <w:r>
        <w:rPr>
          <w:rFonts w:hint="eastAsia"/>
        </w:rPr>
        <w:t>，</w:t>
      </w:r>
      <w:r>
        <w:rPr>
          <w:rFonts w:hint="eastAsia" w:asciiTheme="minorEastAsia" w:hAnsiTheme="minorEastAsia" w:eastAsiaTheme="minorEastAsia" w:cstheme="minorEastAsia"/>
        </w:rPr>
        <w:t>因此可以认为非投资品商品交换存在优化竞争性均衡。</w:t>
      </w:r>
    </w:p>
    <w:p>
      <w:pPr>
        <w:pStyle w:val="31"/>
        <w:numPr>
          <w:ilvl w:val="0"/>
          <w:numId w:val="1"/>
        </w:numPr>
        <w:ind w:firstLineChars="0"/>
      </w:pPr>
      <w:r>
        <w:t>汇率等投资品</w:t>
      </w:r>
      <w:r>
        <w:rPr>
          <w:rFonts w:hint="eastAsia"/>
        </w:rPr>
        <w:t>商品交换</w:t>
      </w:r>
      <w:r>
        <w:t>存在竞争性均衡</w:t>
      </w:r>
      <w:r>
        <w:rPr>
          <w:rFonts w:hint="eastAsia"/>
          <w:lang w:val="en-US" w:eastAsia="zh-CN"/>
        </w:rPr>
        <w:t>的假设过强</w:t>
      </w:r>
    </w:p>
    <w:p>
      <w:r>
        <w:rPr>
          <w:rFonts w:hint="eastAsia"/>
        </w:rPr>
        <w:t>阿罗-德布鲁模型</w:t>
      </w:r>
      <w:r>
        <w:rPr>
          <w:szCs w:val="21"/>
        </w:rPr>
        <w:t>关于</w:t>
      </w:r>
      <w:r>
        <w:rPr>
          <w:rFonts w:hint="eastAsia"/>
        </w:rPr>
        <w:t>商品交换存在竞争性</w:t>
      </w:r>
      <w:r>
        <w:rPr>
          <w:rFonts w:hint="eastAsia"/>
          <w:lang w:val="en-US" w:eastAsia="zh-CN"/>
        </w:rPr>
        <w:t>均衡</w:t>
      </w:r>
      <w:r>
        <w:rPr>
          <w:rFonts w:hint="eastAsia"/>
        </w:rPr>
        <w:t>的前提条件是被交换的商品数量是有限的并且任一商品被交换的次数也是有限的，</w:t>
      </w:r>
      <w:r>
        <w:t>上述定义的投资品</w:t>
      </w:r>
      <w:r>
        <w:rPr>
          <w:rFonts w:hint="eastAsia"/>
        </w:rPr>
        <w:t>商品</w:t>
      </w:r>
      <w:r>
        <w:t>不满足这个条件，因为投资品被交换的次数是无限的</w:t>
      </w:r>
      <w:r>
        <w:rPr>
          <w:rFonts w:hint="eastAsia"/>
        </w:rPr>
        <w:t>。投资品商品交换不存在竞争性均衡的更详细阐述见附录2.</w:t>
      </w:r>
    </w:p>
    <w:p>
      <w:r>
        <w:rPr>
          <w:rFonts w:hint="eastAsia"/>
        </w:rPr>
        <w:t>因为投资品商品交换不存在竞争性均衡</w:t>
      </w:r>
      <w:r>
        <w:t>，</w:t>
      </w:r>
      <w:r>
        <w:rPr>
          <w:rFonts w:hint="eastAsia"/>
        </w:rPr>
        <w:t>因此</w:t>
      </w:r>
      <w:r>
        <w:rPr>
          <w:rFonts w:hint="eastAsia"/>
          <w:lang w:val="en-US" w:eastAsia="zh-CN"/>
        </w:rPr>
        <w:t>本文</w:t>
      </w:r>
      <w:r>
        <w:rPr>
          <w:rFonts w:hint="eastAsia"/>
        </w:rPr>
        <w:t>认为</w:t>
      </w:r>
      <w:r>
        <w:t>阿罗</w:t>
      </w:r>
      <w:r>
        <w:rPr>
          <w:rFonts w:hint="eastAsia"/>
          <w:lang w:val="en-US" w:eastAsia="zh-CN"/>
        </w:rPr>
        <w:t>-</w:t>
      </w:r>
      <w:r>
        <w:t>德布鲁关于投资品商品交换存在竞争性均衡的</w:t>
      </w:r>
      <w:r>
        <w:rPr>
          <w:rFonts w:hint="eastAsia"/>
        </w:rPr>
        <w:t>假设</w:t>
      </w:r>
      <w:r>
        <w:rPr>
          <w:rFonts w:hint="eastAsia"/>
          <w:lang w:val="en-US" w:eastAsia="zh-CN"/>
        </w:rPr>
        <w:t>过</w:t>
      </w:r>
      <w:r>
        <w:t>强</w:t>
      </w:r>
      <w:r>
        <w:rPr>
          <w:rFonts w:hint="eastAsia"/>
        </w:rPr>
        <w:t>。</w:t>
      </w:r>
    </w:p>
    <w:p>
      <w:pPr>
        <w:pStyle w:val="31"/>
        <w:numPr>
          <w:ilvl w:val="0"/>
          <w:numId w:val="1"/>
        </w:numPr>
        <w:ind w:firstLineChars="0"/>
      </w:pPr>
      <w:r>
        <w:rPr>
          <w:rFonts w:hint="eastAsia"/>
        </w:rPr>
        <w:t>商品生产存在</w:t>
      </w:r>
      <w:r>
        <w:rPr>
          <w:rFonts w:hint="eastAsia"/>
          <w:lang w:val="en-US" w:eastAsia="zh-CN"/>
        </w:rPr>
        <w:t>优化</w:t>
      </w:r>
      <w:r>
        <w:rPr>
          <w:rFonts w:hint="eastAsia"/>
        </w:rPr>
        <w:t>竞争性均衡</w:t>
      </w:r>
      <w:r>
        <w:rPr>
          <w:rFonts w:hint="eastAsia"/>
          <w:lang w:val="en-US" w:eastAsia="zh-CN"/>
        </w:rPr>
        <w:t>假设过强</w:t>
      </w:r>
    </w:p>
    <w:p>
      <w:r>
        <w:rPr>
          <w:rFonts w:hint="eastAsia"/>
        </w:rPr>
        <w:t>关于商品生产是否存在优化存在竞争性均衡，附录2做了具体阐述。根据附录2，商品生产不存在优化竞争性均衡，因此本文认为阿罗-德布鲁关于商品生产存在</w:t>
      </w:r>
      <w:r>
        <w:rPr>
          <w:rFonts w:hint="eastAsia"/>
          <w:lang w:val="en-US" w:eastAsia="zh-CN"/>
        </w:rPr>
        <w:t>优化</w:t>
      </w:r>
      <w:r>
        <w:rPr>
          <w:rFonts w:hint="eastAsia"/>
        </w:rPr>
        <w:t>竞争性均衡的假设</w:t>
      </w:r>
      <w:r>
        <w:rPr>
          <w:rFonts w:hint="eastAsia"/>
          <w:lang w:val="en-US" w:eastAsia="zh-CN"/>
        </w:rPr>
        <w:t>过</w:t>
      </w:r>
      <w:r>
        <w:rPr>
          <w:rFonts w:hint="eastAsia"/>
        </w:rPr>
        <w:t>强。</w:t>
      </w:r>
    </w:p>
    <w:p>
      <w:pPr>
        <w:pStyle w:val="31"/>
        <w:numPr>
          <w:ilvl w:val="0"/>
          <w:numId w:val="1"/>
        </w:numPr>
        <w:ind w:firstLineChars="0"/>
      </w:pPr>
      <w:r>
        <w:rPr>
          <w:rFonts w:hint="eastAsia"/>
        </w:rPr>
        <w:t>市场经济均衡能实现社会劳动力全就业和社会产能全利用</w:t>
      </w:r>
      <w:r>
        <w:rPr>
          <w:rFonts w:hint="eastAsia"/>
          <w:lang w:val="en-US" w:eastAsia="zh-CN"/>
        </w:rPr>
        <w:t>的假设过强</w:t>
      </w:r>
    </w:p>
    <w:p>
      <w:pPr>
        <w:ind w:firstLineChars="0"/>
      </w:pPr>
      <w:r>
        <w:rPr>
          <w:rFonts w:hint="eastAsia"/>
        </w:rPr>
        <w:t>索洛经济增长模型认为经济活动短期不能实现竞争性均衡，但经济活动在竞争均衡稳定点震荡一段时间后中长期将实现竞争性均衡，即中长期自由市场经济能实现劳动力全就业和社会产能全利用。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。这意味着索洛关于自由市场经济</w:t>
      </w:r>
      <w:r>
        <w:rPr>
          <w:rFonts w:hint="eastAsia"/>
          <w:lang w:val="en-US" w:eastAsia="zh-CN"/>
        </w:rPr>
        <w:t>中长期</w:t>
      </w:r>
      <w:r>
        <w:rPr>
          <w:rFonts w:hint="eastAsia"/>
        </w:rPr>
        <w:t>能实现劳动力全就业和社会产能全利用的</w:t>
      </w:r>
      <w:r>
        <w:rPr>
          <w:rFonts w:hint="eastAsia"/>
          <w:lang w:val="en-US" w:eastAsia="zh-CN"/>
        </w:rPr>
        <w:t>假设过</w:t>
      </w:r>
      <w:r>
        <w:rPr>
          <w:rFonts w:hint="eastAsia"/>
        </w:rPr>
        <w:t>强。</w:t>
      </w:r>
    </w:p>
    <w:p>
      <w:pPr>
        <w:pStyle w:val="31"/>
        <w:numPr>
          <w:ilvl w:val="0"/>
          <w:numId w:val="1"/>
        </w:numPr>
        <w:ind w:firstLineChars="0"/>
      </w:pPr>
      <w:r>
        <w:rPr>
          <w:rFonts w:hint="eastAsia"/>
        </w:rPr>
        <w:t>市场经济存在均衡市场利率</w:t>
      </w:r>
      <w:r>
        <w:rPr>
          <w:rFonts w:hint="eastAsia"/>
          <w:lang w:val="en-US" w:eastAsia="zh-CN"/>
        </w:rPr>
        <w:t>的假设过强</w:t>
      </w:r>
    </w:p>
    <w:p>
      <w:pPr>
        <w:ind w:firstLineChars="0"/>
      </w:pPr>
      <w:r>
        <w:rPr>
          <w:rFonts w:hint="eastAsia"/>
          <w:lang w:val="en-US" w:eastAsia="zh-CN"/>
        </w:rPr>
        <w:t>由于</w:t>
      </w:r>
      <w:r>
        <w:rPr>
          <w:rFonts w:hint="eastAsia"/>
        </w:rPr>
        <w:t>英国1921年至1939年长达19年的时间失业率维持在10%以上，</w:t>
      </w:r>
      <w:r>
        <w:rPr>
          <w:rFonts w:hint="eastAsia"/>
          <w:lang w:val="en-US" w:eastAsia="zh-CN"/>
        </w:rPr>
        <w:t>英国市场经济这期间一直处于非优化均衡状态，因此</w:t>
      </w:r>
      <w:r>
        <w:rPr>
          <w:rFonts w:hint="eastAsia"/>
        </w:rPr>
        <w:t>本文认为希克斯关于市场经济存在均衡市场利率的假设</w:t>
      </w:r>
      <w:r>
        <w:rPr>
          <w:rFonts w:hint="eastAsia"/>
          <w:lang w:val="en-US" w:eastAsia="zh-CN"/>
        </w:rPr>
        <w:t>过</w:t>
      </w:r>
      <w:r>
        <w:rPr>
          <w:rFonts w:hint="eastAsia"/>
        </w:rPr>
        <w:t>强。</w:t>
      </w:r>
    </w:p>
    <w:p>
      <w:pPr>
        <w:pStyle w:val="4"/>
        <w:ind w:firstLine="420"/>
      </w:pPr>
      <w:r>
        <w:rPr>
          <w:rFonts w:hint="eastAsia"/>
        </w:rPr>
        <w:t>（五）主流经济理论</w:t>
      </w:r>
      <w:r>
        <w:t>方法论的缺陷</w:t>
      </w:r>
    </w:p>
    <w:p>
      <w:r>
        <w:rPr>
          <w:rFonts w:hint="eastAsia"/>
        </w:rPr>
        <w:t>前</w:t>
      </w:r>
      <w:r>
        <w:rPr>
          <w:rFonts w:hint="eastAsia"/>
          <w:lang w:val="en-US" w:eastAsia="zh-CN"/>
        </w:rPr>
        <w:t>文</w:t>
      </w:r>
      <w:r>
        <w:rPr>
          <w:rFonts w:hint="eastAsia"/>
        </w:rPr>
        <w:t>已讨论，新古典学派和凯恩斯学派关于市场经济的基本规律假设</w:t>
      </w:r>
      <w:r>
        <w:rPr>
          <w:rFonts w:hint="eastAsia"/>
          <w:lang w:val="en-US" w:eastAsia="zh-CN"/>
        </w:rPr>
        <w:t>过</w:t>
      </w:r>
      <w:r>
        <w:rPr>
          <w:rFonts w:hint="eastAsia"/>
        </w:rPr>
        <w:t>强</w:t>
      </w:r>
      <w:r>
        <w:rPr>
          <w:rFonts w:hint="eastAsia"/>
          <w:lang w:eastAsia="zh-CN"/>
        </w:rPr>
        <w:t>。</w:t>
      </w:r>
      <w:r>
        <w:rPr>
          <w:rFonts w:hint="eastAsia"/>
        </w:rPr>
        <w:t>为何这两个学派对</w:t>
      </w:r>
      <w:r>
        <w:t>现实</w:t>
      </w:r>
      <w:r>
        <w:rPr>
          <w:rFonts w:hint="eastAsia"/>
        </w:rPr>
        <w:t>经济</w:t>
      </w:r>
      <w:r>
        <w:t>活动仍</w:t>
      </w:r>
      <w:r>
        <w:rPr>
          <w:rFonts w:hint="eastAsia"/>
        </w:rPr>
        <w:t>有相当的预测和解释能力，并且一直被全球主流经济学家所追捧？这</w:t>
      </w:r>
      <w:r>
        <w:t>是因为</w:t>
      </w:r>
      <w:r>
        <w:rPr>
          <w:rFonts w:hint="eastAsia"/>
        </w:rPr>
        <w:t>计量经济学</w:t>
      </w:r>
      <w:r>
        <w:t>的先进性可以弥补其</w:t>
      </w:r>
      <w:r>
        <w:rPr>
          <w:rFonts w:hint="eastAsia"/>
        </w:rPr>
        <w:t>基本规律</w:t>
      </w:r>
      <w:r>
        <w:t>假设</w:t>
      </w:r>
      <w:r>
        <w:rPr>
          <w:rFonts w:hint="eastAsia"/>
          <w:lang w:val="en-US" w:eastAsia="zh-CN"/>
        </w:rPr>
        <w:t>过</w:t>
      </w:r>
      <w:r>
        <w:t>强的不足。</w:t>
      </w:r>
    </w:p>
    <w:p>
      <w:r>
        <w:rPr>
          <w:rFonts w:hint="eastAsia"/>
        </w:rPr>
        <w:t>计量经济学也称实证经济学，通过经济数据归纳总结经济变量之间的统计规律，而不是通过逻辑演绎推演经济变量之间的因果关系。属于实证经济学的计量经济学本质上是一种数学变换，把反映各经济变量之间复杂逻辑关系的函数F</w:t>
      </w:r>
      <w:r>
        <w:t>(X)</w:t>
      </w:r>
      <w:r>
        <w:rPr>
          <w:rFonts w:hint="eastAsia"/>
        </w:rPr>
        <w:t>转换成各经济变量的序列统计函数，如公式（2-1）所示。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w:t>
            </w:r>
            <m:oMath>
              <m:r>
                <m:rPr>
                  <m:sty m:val="p"/>
                </m:rPr>
                <w:rPr>
                  <w:rFonts w:hint="eastAsia" w:ascii="Cambria Math" w:hAnsi="Cambria Math"/>
                </w:rPr>
                <m:t>F(</m:t>
              </m:r>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t</m:t>
                  </m:r>
                  <m:ctrlPr>
                    <w:rPr>
                      <w:rFonts w:hint="eastAsia" w:ascii="Cambria Math" w:hAnsi="Cambria Math"/>
                    </w:rPr>
                  </m:ctrlPr>
                </m:sub>
              </m:sSub>
              <m:r>
                <m:rPr>
                  <m:sty m:val="p"/>
                </m:rPr>
                <w:rPr>
                  <w:rFonts w:hint="eastAsia" w:ascii="Cambria Math" w:hAnsi="Cambria Math"/>
                </w:rPr>
                <m:t>)</m:t>
              </m:r>
            </m:oMath>
            <w:r>
              <w:rPr>
                <w:rFonts w:hint="eastAsia"/>
              </w:rPr>
              <w:t>=</w:t>
            </w:r>
            <m:oMath>
              <m:sSup>
                <m:sSupPr>
                  <m:ctrlPr>
                    <w:rPr>
                      <w:rFonts w:hint="eastAsia" w:ascii="Cambria Math" w:hAnsi="Cambria Math"/>
                      <w:i/>
                    </w:rPr>
                  </m:ctrlPr>
                </m:sSupPr>
                <m:e>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ctrlPr>
                    <w:rPr>
                      <w:rFonts w:hint="eastAsia" w:ascii="Cambria Math" w:hAnsi="Cambria Math"/>
                      <w:i/>
                    </w:rPr>
                  </m:ctrlPr>
                </m:e>
                <m:sup>
                  <m:r>
                    <m:rPr/>
                    <w:rPr>
                      <w:rFonts w:hint="eastAsia" w:ascii="Cambria Math" w:hAnsi="Cambria Math"/>
                    </w:rPr>
                    <m:t>'</m:t>
                  </m:r>
                  <m:ctrlPr>
                    <w:rPr>
                      <w:rFonts w:hint="eastAsia" w:ascii="Cambria Math" w:hAnsi="Cambria Math"/>
                      <w:i/>
                    </w:rPr>
                  </m:ctrlPr>
                </m:sup>
              </m:sSup>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 xml:space="preserve">    t=1,2,...,n    </w:t>
            </w:r>
          </w:p>
        </w:tc>
        <w:tc>
          <w:tcPr>
            <w:tcW w:w="930" w:type="dxa"/>
            <w:vAlign w:val="center"/>
          </w:tcPr>
          <w:p>
            <w:pPr>
              <w:ind w:firstLine="0" w:firstLineChars="0"/>
              <w:jc w:val="right"/>
            </w:pPr>
            <w:r>
              <w:rPr>
                <w:rFonts w:hint="eastAsia"/>
              </w:rPr>
              <w:t>(2-1)</w:t>
            </w:r>
          </w:p>
        </w:tc>
      </w:tr>
    </w:tbl>
    <w:p>
      <w:r>
        <w:rPr>
          <w:rFonts w:hint="eastAsia"/>
        </w:rPr>
        <w:t>式中</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是因变量，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是由经济解释变量及其非线性变换所构成的K-维自变量向量，</w:t>
      </w:r>
      <m:oMath>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是K-维未知参数向量，</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是不可观测的扰动项，代表除了自变量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之外所有其它因素对</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的总效应，n是样本容量。</w:t>
      </w:r>
    </w:p>
    <w:p>
      <w:r>
        <w:rPr>
          <w:rFonts w:hint="eastAsia"/>
        </w:rPr>
        <w:t>理论上讲，任何一个收敛的</w:t>
      </w:r>
      <w:r>
        <w:t>反映各经济变量复杂逻辑关系的</w:t>
      </w:r>
      <w:r>
        <w:rPr>
          <w:rFonts w:hint="eastAsia"/>
        </w:rPr>
        <w:t>函数F</w:t>
      </w:r>
      <w:r>
        <w:t>(X)都可以转换成各经济变量的时间序列的统计函数。这样，通过计量经济学的统计函数就可以撇开经济变量之间的逻辑关系把各经济变量之间的统计数据关系计算出来，成为解释经济现象和制定经济政策的依据。</w:t>
      </w:r>
    </w:p>
    <w:p>
      <w:r>
        <w:rPr>
          <w:rFonts w:hint="eastAsia"/>
        </w:rPr>
        <w:t>计量经济学已经发展得很成熟，从正态分布到非正态分布假设，从条件同方差与零自相关到条件异方差与自相关，从线性模型到非线性模型，从外生性到内生性，从模型正确设定到模型误设，从平稳性到非平稳性，从传统数据到大数据</w:t>
      </w:r>
      <w:r>
        <w:fldChar w:fldCharType="begin"/>
      </w:r>
      <w:r>
        <w:rPr>
          <w:rFonts w:hint="eastAsia"/>
        </w:rPr>
        <w:instrText xml:space="preserve"> ADDIN EN.CITE &lt;EndNote&gt;&lt;Cite&gt;&lt;Author&gt;洪永淼&lt;/Author&gt;&lt;Year&gt;2021&lt;/Year&gt;&lt;RecNum&gt;961&lt;/RecNum&gt;&lt;DisplayText&gt;(洪永淼, 2021)&lt;/DisplayText&gt;&lt;record&gt;&lt;rec-number&gt;961&lt;/rec-number&gt;&lt;foreign-keys&gt;&lt;key app="EN" db-id="dfw50pzpwrep2aeerx4v2xdyaa5vzeftr0xv" timestamp="1674198305"&gt;961&lt;/key&gt;&lt;/foreign-keys&gt;&lt;ref-type name="Journal Article"&gt;17&lt;/ref-type&gt;&lt;contributors&gt;&lt;authors&gt;&lt;author&gt;&lt;style face="normal" font="default" charset="134" size="100%"&gt;洪永淼&lt;/style&gt;&lt;/author&gt;&lt;/authors&gt;&lt;/contributors&gt;&lt;titles&gt;&lt;title&gt;&lt;style face="normal" font="default" charset="134" size="100%"&gt;理解现代计量经济学&lt;/style&gt;&lt;/title&gt;&lt;secondary-title&gt;&lt;style face="normal" font="default" charset="134" size="100%"&gt;计量经济学报&lt;/style&gt;&lt;/secondary-title&gt;&lt;/titles&gt;&lt;periodical&gt;&lt;full-title&gt;计量经济学报&lt;/full-title&gt;&lt;/periodical&gt;&lt;pages&gt;266-284&lt;/pages&gt;&lt;volume&gt;1&lt;/volume&gt;&lt;number&gt;02&lt;/number&gt;&lt;keywords&gt;&lt;keyword&gt;非实验性&lt;/keyword&gt;&lt;keyword&gt;线性回归模型&lt;/keyword&gt;&lt;keyword&gt;非线性模型&lt;/keyword&gt;&lt;keyword&gt;模型设定&lt;/keyword&gt;&lt;keyword&gt;正态分布&lt;/keyword&gt;&lt;keyword&gt;条件异方差&lt;/keyword&gt;&lt;keyword&gt;内生性&lt;/keyword&gt;&lt;keyword&gt;工具变量&lt;/keyword&gt;&lt;keyword&gt;广义矩估计&lt;/keyword&gt;&lt;keyword&gt;平稳性&lt;/keyword&gt;&lt;keyword&gt;结构变化&lt;/keyword&gt;&lt;keyword&gt;模型不确定性&lt;/keyword&gt;&lt;keyword&gt;大数据&lt;/keyword&gt;&lt;keyword&gt;高维数据&lt;/keyword&gt;&lt;keyword&gt;机器学习&lt;/keyword&gt;&lt;keyword&gt;预测&lt;/keyword&gt;&lt;keyword&gt;因果关系&lt;/keyword&gt;&lt;keyword&gt;政策评估&lt;/keyword&gt;&lt;/keywords&gt;&lt;dates&gt;&lt;year&gt;2021&lt;/year&gt;&lt;/dates&gt;&lt;url</w:instrText>
      </w:r>
      <w:r>
        <w:instrText xml:space="preserve">s&gt;&lt;/urls&gt;&lt;/record&gt;&lt;/Cite&gt;&lt;/EndNote&gt;</w:instrText>
      </w:r>
      <w:r>
        <w:fldChar w:fldCharType="separate"/>
      </w:r>
      <w:r>
        <w:rPr>
          <w:rFonts w:hint="eastAsia"/>
        </w:rPr>
        <w:t>(洪永淼, 2021)</w:t>
      </w:r>
      <w:r>
        <w:fldChar w:fldCharType="end"/>
      </w:r>
      <w:r>
        <w:rPr>
          <w:rFonts w:hint="eastAsia"/>
        </w:rPr>
        <w:t>。总之，通过复杂却又严谨的数据处理科学，计量经济学可以脱离经济变量之间的逻辑关系而把其数据之间的统计关系找出来。</w:t>
      </w:r>
    </w:p>
    <w:p>
      <w:r>
        <w:t>动态随机一般均衡计量经济学数学模型（DSGE）是应用最广的计量经济学模型之一，它通过假设技术进步和货币等变量</w:t>
      </w:r>
      <w:r>
        <w:rPr>
          <w:rFonts w:hint="eastAsia"/>
        </w:rPr>
        <w:t>等</w:t>
      </w:r>
      <w:r>
        <w:t>为随机变量，能很好地揭示各经济变量之间的统计关系</w:t>
      </w:r>
      <w:r>
        <w:fldChar w:fldCharType="begin"/>
      </w:r>
      <w:r>
        <w:instrText xml:space="preserve"> ADDIN EN.CITE &lt;EndNote&gt;&lt;Cite&gt;&lt;Author&gt;Fernández-Villaverde&lt;/Author&gt;&lt;Year&gt;2010&lt;/Year&gt;&lt;RecNum&gt;949&lt;/RecNum&gt;&lt;DisplayText&gt;(Fernández-Villaverde, 2010)&lt;/DisplayText&gt;&lt;record&gt;&lt;rec-number&gt;949&lt;/rec-number&gt;&lt;foreign-keys&gt;&lt;key app="EN" db-id="dfw50pzpwrep2aeerx4v2xdyaa5vzeftr0xv" timestamp="1674197889"&gt;949&lt;/key&gt;&lt;/foreign-keys&gt;&lt;ref-type name="Journal Article"&gt;17&lt;/ref-type&gt;&lt;contributors&gt;&lt;authors&gt;&lt;author&gt;Fernández-Villaverde, Jesús&lt;/author&gt;&lt;/authors&gt;&lt;/contributors&gt;&lt;titles&gt;&lt;title&gt;The econometrics of DSGE models&lt;/title&gt;&lt;secondary-title&gt;SERIEs&lt;/secondary-title&gt;&lt;/titles&gt;&lt;periodical&gt;&lt;full-title&gt;SERIEs&lt;/full-title&gt;&lt;/periodical&gt;&lt;pages&gt;3-49&lt;/pages&gt;&lt;volume&gt;1&lt;/volume&gt;&lt;number&gt;1&lt;/number&gt;&lt;dates&gt;&lt;year&gt;2010&lt;/year&gt;&lt;/dates&gt;&lt;publisher&gt;Springer&lt;/publisher&gt;&lt;isbn&gt;1869-4195&lt;/isbn&gt;&lt;urls&gt;&lt;/urls&gt;&lt;/record&gt;&lt;/Cite&gt;&lt;/EndNote&gt;</w:instrText>
      </w:r>
      <w:r>
        <w:fldChar w:fldCharType="separate"/>
      </w:r>
      <w:r>
        <w:t>(Fernández-Villaverde, 2010)</w:t>
      </w:r>
      <w:r>
        <w:fldChar w:fldCharType="end"/>
      </w:r>
      <w:r>
        <w:t>。</w:t>
      </w:r>
    </w:p>
    <w:p>
      <w:r>
        <w:rPr>
          <w:rFonts w:hint="eastAsia"/>
        </w:rPr>
        <w:t>尽管动态随机一般均衡（DSGE）等先进计量经济学模型能有效揭示各经济变量之间的统计规律关系，但无法揭示各经济变量之间的因果关系。比如计量经济学无法揭示政府投资，社会产出，技术进步和社会资本积累等经济变量之间的具体的因果关系。这是主流经济理论不能很好地解释1978年以来中国经济取得巨大成功的重要原因之一。</w:t>
      </w:r>
    </w:p>
    <w:p>
      <w:r>
        <w:rPr>
          <w:rFonts w:hint="eastAsia"/>
          <w:lang w:val="en-US" w:eastAsia="zh-CN"/>
        </w:rPr>
        <w:t>弗</w:t>
      </w:r>
      <w:r>
        <w:rPr>
          <w:rFonts w:hint="eastAsia"/>
        </w:rPr>
        <w:t>里德曼在《</w:t>
      </w:r>
      <w:r>
        <w:rPr>
          <w:rFonts w:hint="eastAsia"/>
          <w:lang w:val="en-US" w:eastAsia="zh-CN"/>
        </w:rPr>
        <w:t>实证经济学文集</w:t>
      </w:r>
      <w:r>
        <w:rPr>
          <w:rFonts w:hint="eastAsia"/>
        </w:rPr>
        <w:t>》中明确说，经济理论假设的构建应该基于灵感，直觉和创新，不要被定理，逻辑三段论和科学方法论所束缚</w:t>
      </w:r>
      <w:r>
        <w:fldChar w:fldCharType="begin"/>
      </w:r>
      <w:r>
        <w:instrText xml:space="preserve"> ADDIN EN.CITE &lt;EndNote&gt;&lt;Cite&gt;&lt;Author&gt;Friedman&lt;/Author&gt;&lt;Year&gt;1953&lt;/Year&gt;&lt;RecNum&gt;950&lt;/RecNum&gt;&lt;DisplayText&gt;(Friedman,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(Friedman, 1953)</w:t>
      </w:r>
      <w:r>
        <w:fldChar w:fldCharType="end"/>
      </w:r>
      <w:r>
        <w:rPr>
          <w:rFonts w:hint="eastAsia"/>
        </w:rPr>
        <w:t>。主流经济理论过度依赖计量经济学而不重视经济理论的基础逻辑，其关于市场经济的基本规律假设</w:t>
      </w:r>
      <w:r>
        <w:rPr>
          <w:rFonts w:hint="eastAsia"/>
          <w:lang w:val="en-US" w:eastAsia="zh-CN"/>
        </w:rPr>
        <w:t>过</w:t>
      </w:r>
      <w:r>
        <w:rPr>
          <w:rFonts w:hint="eastAsia"/>
        </w:rPr>
        <w:t>强一直没得到纠正，这是其方法论的缺陷。</w:t>
      </w:r>
    </w:p>
    <w:p>
      <w:r>
        <w:rPr>
          <w:rFonts w:hint="eastAsia"/>
        </w:rPr>
        <w:t>在对市场经济微观机制的理解</w:t>
      </w:r>
      <w:r>
        <w:rPr>
          <w:rFonts w:hint="eastAsia"/>
          <w:lang w:val="en-US" w:eastAsia="zh-CN"/>
        </w:rPr>
        <w:t>仍</w:t>
      </w:r>
      <w:r>
        <w:rPr>
          <w:rFonts w:hint="eastAsia"/>
        </w:rPr>
        <w:t>处于</w:t>
      </w:r>
      <w:r>
        <w:rPr>
          <w:rFonts w:hint="eastAsia"/>
          <w:lang w:eastAsia="zh-CN"/>
        </w:rPr>
        <w:t>“</w:t>
      </w:r>
      <w:r>
        <w:rPr>
          <w:rFonts w:hint="eastAsia"/>
        </w:rPr>
        <w:t>看不见</w:t>
      </w:r>
      <w:r>
        <w:rPr>
          <w:rFonts w:hint="eastAsia"/>
          <w:lang w:val="en-US" w:eastAsia="zh-CN"/>
        </w:rPr>
        <w:t>的</w:t>
      </w:r>
      <w:r>
        <w:rPr>
          <w:rFonts w:hint="eastAsia"/>
        </w:rPr>
        <w:t>手</w:t>
      </w:r>
      <w:r>
        <w:rPr>
          <w:rFonts w:hint="eastAsia"/>
          <w:lang w:eastAsia="zh-CN"/>
        </w:rPr>
        <w:t>”</w:t>
      </w:r>
      <w:r>
        <w:rPr>
          <w:rFonts w:hint="eastAsia"/>
        </w:rPr>
        <w:t>的黑盒子的阶段，经济理论主要依赖实证经济学有重要的现实意义。但随着市场经济的微观机制规律被不断揭示出来，经济理论方法论应该随之而进步，逻辑演绎和实证并重。</w:t>
      </w:r>
    </w:p>
    <w:p/>
    <w:p>
      <w:pPr>
        <w:pStyle w:val="2"/>
      </w:pPr>
      <w:r>
        <w:rPr>
          <w:rFonts w:hint="eastAsia"/>
        </w:rPr>
        <w:t>三、互相独立的基本规律假设</w:t>
      </w:r>
    </w:p>
    <w:p>
      <w:r>
        <w:rPr>
          <w:rFonts w:hint="eastAsia"/>
        </w:rPr>
        <w:t>在改进优化新古典学派和凯恩斯学派关于市场经济基本规律假设的基础上，本文提出关于市场经济三个互相独立的基本规律假设。</w:t>
      </w:r>
    </w:p>
    <w:p>
      <w:pPr>
        <w:pStyle w:val="4"/>
        <w:ind w:firstLine="420"/>
      </w:pPr>
      <w:r>
        <w:t>（一）基本规律假设一：没有任何第三方强制或限制的自由市场经济，被交换次数为有限的非投资品商品交换存在使交易主体资产效用增加的帕累托优化竞争性均衡。</w:t>
      </w:r>
    </w:p>
    <w:p>
      <w:pPr>
        <w:rPr>
          <w:i/>
        </w:rPr>
      </w:pPr>
      <w:r>
        <w:t>参考</w:t>
      </w:r>
      <w:r>
        <w:fldChar w:fldCharType="begin"/>
      </w:r>
      <w:r>
        <w:instrText xml:space="preserve"> ADDIN EN.CITE &lt;EndNote&gt;&lt;Cite AuthorYear="1"&gt;&lt;Author&gt;Zhukovskiy&lt;/Author&gt;&lt;Year&gt;2016&lt;/Year&gt;&lt;RecNum&gt;960&lt;/RecNum&gt;&lt;DisplayText&gt;Zhukovskiy &amp;amp; Kudryavtsev (2016)&lt;/DisplayText&gt;&lt;record&gt;&lt;rec-number&gt;960&lt;/rec-number&gt;&lt;foreign-keys&gt;&lt;key app="EN" db-id="dfw50pzpwrep2aeerx4v2xdyaa5vzeftr0xv" timestamp="1674198168"&gt;960&lt;/key&gt;&lt;/foreign-keys&gt;&lt;ref-type name="Journal Article"&gt;17&lt;/ref-type&gt;&lt;contributors&gt;&lt;authors&gt;&lt;author&gt;Zhukovskiy, Vladislav I.&lt;/author&gt;&lt;author&gt;Kudryavtsev, Konstantin N.&lt;/author&gt;&lt;/authors&gt;&lt;/contributors&gt;&lt;titles&gt;&lt;title&gt;Pareto-optimal Nash equilibrium: Sufficient conditions and existence in mixed strategies&lt;/title&gt;&lt;secondary-title&gt;Automation and Remote Control&lt;/secondary-title&gt;&lt;/titles&gt;&lt;periodical&gt;&lt;full-title&gt;Automation and Remote Control&lt;/full-title&gt;&lt;/periodical&gt;&lt;pages&gt;1500-1510&lt;/pages&gt;&lt;volume&gt;77&lt;/volume&gt;&lt;number&gt;8&lt;/number&gt;&lt;dates&gt;&lt;year&gt;2016&lt;/year&gt;&lt;/dates&gt;&lt;publisher&gt;Springer&lt;/publisher&gt;&lt;isbn&gt;1608-3032&lt;/isbn&gt;&lt;urls&gt;&lt;/urls&gt;&lt;/record&gt;&lt;/Cite&gt;&lt;/EndNote&gt;</w:instrText>
      </w:r>
      <w:r>
        <w:fldChar w:fldCharType="separate"/>
      </w:r>
      <w:r>
        <w:t>Zhukovskiy &amp; Kudryavtsev (2016)</w:t>
      </w:r>
      <w:r>
        <w:fldChar w:fldCharType="end"/>
      </w:r>
      <w:r>
        <w:t>的研究，基本规律假设一可用数学语言表述为：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Γ=</m:t>
              </m:r>
              <m:d>
                <m:dPr>
                  <m:begChr m:val="⟦"/>
                  <m:endChr m:val="⟧"/>
                  <m:ctrlPr>
                    <w:rPr>
                      <w:rFonts w:ascii="Cambria Math" w:hAnsi="Cambria Math"/>
                    </w:rPr>
                  </m:ctrlPr>
                </m:dPr>
                <m:e>
                  <m:r>
                    <m:rPr>
                      <m:sty m:val="p"/>
                    </m:rPr>
                    <w:rPr>
                      <w:rFonts w:ascii="Cambria Math" w:hAnsi="Cambria Math"/>
                    </w:rPr>
                    <m:t>Ν，</m:t>
                  </m:r>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Χ</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d>
                      <m:ctrlPr>
                        <w:rPr>
                          <w:rFonts w:ascii="Cambria Math" w:hAnsi="Cambria Math"/>
                        </w:rPr>
                      </m:ctrlPr>
                    </m:e>
                    <m:sub>
                      <m:r>
                        <m:rPr>
                          <m:sty m:val="p"/>
                        </m:rPr>
                        <w:rPr>
                          <w:rFonts w:ascii="Cambria Math" w:hAnsi="Cambria Math"/>
                        </w:rPr>
                        <m:t>i∈N</m:t>
                      </m:r>
                      <m:ctrlPr>
                        <w:rPr>
                          <w:rFonts w:ascii="Cambria Math" w:hAnsi="Cambria Math"/>
                        </w:rPr>
                      </m:ctrlPr>
                    </m:sub>
                  </m:sSub>
                  <m:sSub>
                    <m:sSubPr>
                      <m:ctrlPr>
                        <w:rPr>
                          <w:rFonts w:ascii="Cambria Math" w:hAnsi="Cambria Math"/>
                        </w:rPr>
                      </m:ctrlPr>
                    </m:sSubPr>
                    <m:e>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i</m:t>
                              </m:r>
                              <m:ctrlPr>
                                <w:rPr>
                                  <w:rFonts w:ascii="Cambria Math" w:hAnsi="Cambria Math"/>
                                </w:rPr>
                              </m:ctrlPr>
                            </m:sub>
                          </m:sSub>
                          <m:d>
                            <m:dPr>
                              <m:ctrlPr>
                                <w:rPr>
                                  <w:rFonts w:ascii="Cambria Math" w:hAnsi="Cambria Math"/>
                                </w:rPr>
                              </m:ctrlPr>
                            </m:dPr>
                            <m:e>
                              <m:r>
                                <m:rPr>
                                  <m:sty m:val="p"/>
                                </m:rPr>
                                <w:rPr>
                                  <w:rFonts w:ascii="Cambria Math" w:hAnsi="Cambria Math"/>
                                </w:rPr>
                                <m:t>x</m:t>
                              </m:r>
                              <m:ctrlPr>
                                <w:rPr>
                                  <w:rFonts w:ascii="Cambria Math" w:hAnsi="Cambria Math"/>
                                </w:rPr>
                              </m:ctrlPr>
                            </m:e>
                          </m:d>
                          <m:ctrlPr>
                            <w:rPr>
                              <w:rFonts w:ascii="Cambria Math" w:hAnsi="Cambria Math"/>
                            </w:rPr>
                          </m:ctrlPr>
                        </m:e>
                      </m:d>
                      <m:ctrlPr>
                        <w:rPr>
                          <w:rFonts w:ascii="Cambria Math" w:hAnsi="Cambria Math"/>
                        </w:rPr>
                      </m:ctrlPr>
                    </m:e>
                    <m:sub>
                      <m:r>
                        <m:rPr>
                          <m:sty m:val="p"/>
                        </m:rPr>
                        <w:rPr>
                          <w:rFonts w:ascii="Cambria Math" w:hAnsi="Cambria Math"/>
                        </w:rPr>
                        <m:t>i∈N</m:t>
                      </m:r>
                      <m:ctrlPr>
                        <w:rPr>
                          <w:rFonts w:ascii="Cambria Math" w:hAnsi="Cambria Math"/>
                        </w:rPr>
                      </m:ctrlPr>
                    </m:sub>
                  </m:sSub>
                  <m:ctrlPr>
                    <w:rPr>
                      <w:rFonts w:ascii="Cambria Math" w:hAnsi="Cambria Math"/>
                    </w:rPr>
                  </m:ctrlPr>
                </m:e>
              </m:d>
            </m:oMath>
            <w:r>
              <w:t xml:space="preserve">    </w:t>
            </w:r>
          </w:p>
        </w:tc>
        <w:tc>
          <w:tcPr>
            <w:tcW w:w="930" w:type="dxa"/>
            <w:vAlign w:val="center"/>
          </w:tcPr>
          <w:p>
            <w:pPr>
              <w:ind w:firstLine="0" w:firstLineChars="0"/>
              <w:jc w:val="right"/>
            </w:pPr>
            <w: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rPr>
                  </m:ctrlPr>
                </m:naryPr>
                <m:sub>
                  <m:r>
                    <m:rPr/>
                    <w:rPr>
                      <w:rFonts w:ascii="Cambria Math" w:hAnsi="Cambria Math"/>
                    </w:rPr>
                    <m:t>i</m:t>
                  </m:r>
                  <m:r>
                    <m:rPr>
                      <m:sty m:val="p"/>
                    </m:rPr>
                    <w:rPr>
                      <w:rFonts w:ascii="Cambria Math" w:hAnsi="Cambria Math"/>
                    </w:rPr>
                    <m:t>∈N</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nary>
                <m:naryPr>
                  <m:chr m:val="∑"/>
                  <m:limLoc m:val="undOvr"/>
                  <m:supHide m:val="1"/>
                  <m:ctrlPr>
                    <w:rPr>
                      <w:rFonts w:ascii="Cambria Math" w:hAnsi="Cambria Math"/>
                    </w:rPr>
                  </m:ctrlPr>
                </m:naryPr>
                <m:sub>
                  <m:r>
                    <m:rPr/>
                    <w:rPr>
                      <w:rFonts w:ascii="Cambria Math" w:hAnsi="Cambria Math"/>
                    </w:rPr>
                    <m:t>i</m:t>
                  </m:r>
                  <m:r>
                    <m:rPr>
                      <m:sty m:val="p"/>
                    </m:rPr>
                    <w:rPr>
                      <w:rFonts w:ascii="Cambria Math" w:hAnsi="Cambria Math"/>
                    </w:rPr>
                    <m:t>∈N</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oMath>
            <w:r>
              <w:t>(</w:t>
            </w:r>
            <m:oMath>
              <m:sSup>
                <m:sSupPr>
                  <m:ctrlPr>
                    <w:rPr>
                      <w:rFonts w:ascii="Cambria Math" w:hAnsi="Cambria Math"/>
                    </w:rPr>
                  </m:ctrlPr>
                </m:sSupPr>
                <m:e>
                  <m:r>
                    <m:rPr/>
                    <w:rPr>
                      <w:rFonts w:ascii="Cambria Math" w:hAnsi="Cambria Math"/>
                    </w:rPr>
                    <m:t>X</m:t>
                  </m:r>
                  <m:ctrlPr>
                    <w:rPr>
                      <w:rFonts w:ascii="Cambria Math" w:hAnsi="Cambria Math"/>
                    </w:rPr>
                  </m:ctrlPr>
                </m:e>
                <m:sup>
                  <m:r>
                    <m:rPr/>
                    <w:rPr>
                      <w:rFonts w:ascii="Cambria Math" w:hAnsi="Cambria Math"/>
                    </w:rPr>
                    <m:t>p</m:t>
                  </m:r>
                  <m:ctrlPr>
                    <w:rPr>
                      <w:rFonts w:ascii="Cambria Math" w:hAnsi="Cambria Math"/>
                    </w:rPr>
                  </m:ctrlPr>
                </m:sup>
              </m:sSup>
            </m:oMath>
            <w:r>
              <w:t xml:space="preserve">)    </w:t>
            </w:r>
          </w:p>
        </w:tc>
        <w:tc>
          <w:tcPr>
            <w:tcW w:w="930" w:type="dxa"/>
            <w:vAlign w:val="center"/>
          </w:tcPr>
          <w:p>
            <w:pPr>
              <w:ind w:firstLine="0" w:firstLineChars="0"/>
              <w:jc w:val="right"/>
            </w:pPr>
            <w:r>
              <w:t>(3-2)</w:t>
            </w:r>
          </w:p>
        </w:tc>
      </w:tr>
    </w:tbl>
    <w:p>
      <w:r>
        <w:t>式（3-1）表达的在没有任何第三方强制或限制的自由市场经济体系里被交换次数为有限的非投资品商品交换存在式（3-2）表达的帕累托优化竞争性均衡。其中，</w:t>
      </w:r>
      <m:oMath>
        <m:r>
          <m:rPr>
            <m:sty m:val="p"/>
          </m:rPr>
          <w:rPr>
            <w:rFonts w:ascii="Cambria Math" w:hAnsi="Cambria Math"/>
          </w:rPr>
          <m:t>N</m:t>
        </m:r>
      </m:oMath>
      <w:r>
        <w:t>=</w:t>
      </w:r>
      <m:oMath>
        <m:d>
          <m:dPr>
            <m:begChr m:val="{"/>
            <m:endChr m:val="}"/>
            <m:ctrlPr>
              <w:rPr>
                <w:rFonts w:ascii="Cambria Math" w:hAnsi="Cambria Math"/>
                <w:i/>
              </w:rPr>
            </m:ctrlPr>
          </m:dPr>
          <m:e>
            <m:r>
              <m:rPr/>
              <w:rPr>
                <w:rFonts w:ascii="Cambria Math" w:hAnsi="Cambria Math"/>
              </w:rPr>
              <m:t>1,...,N</m:t>
            </m:r>
            <m:ctrlPr>
              <w:rPr>
                <w:rFonts w:ascii="Cambria Math" w:hAnsi="Cambria Math"/>
                <w:i/>
              </w:rPr>
            </m:ctrlPr>
          </m:e>
        </m:d>
      </m:oMath>
      <w:r>
        <w:t>为模型经济体的经济主体数，</w:t>
      </w:r>
      <m:oMath>
        <m:r>
          <m:rPr>
            <m:sty m:val="p"/>
          </m:rPr>
          <w:rPr>
            <w:rFonts w:ascii="Cambria Math" w:hAnsi="Cambria Math"/>
          </w:rPr>
          <m:t>N</m:t>
        </m:r>
      </m:oMath>
      <w:r>
        <w:t>为有限值；i为商品交换经济主体的序号；</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ni</m:t>
            </m:r>
            <m:ctrlPr>
              <w:rPr>
                <w:rFonts w:ascii="Cambria Math" w:hAnsi="Cambria Math"/>
              </w:rPr>
            </m:ctrlPr>
          </m:sup>
        </m:sSup>
      </m:oMath>
      <w:r>
        <w:t>为第</w:t>
      </w:r>
      <m:oMath>
        <m:r>
          <m:rPr>
            <m:sty m:val="p"/>
          </m:rPr>
          <w:rPr>
            <w:rFonts w:ascii="Cambria Math" w:hAnsi="Cambria Math"/>
          </w:rPr>
          <m:t>i</m:t>
        </m:r>
      </m:oMath>
      <w:r>
        <w:t>个经济主体与其它主体的商品交换集合；所有经济主体与其它经济主体商品交换的集合为</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)∈X=</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m:t>
            </m:r>
            <m:ctrlPr>
              <w:rPr>
                <w:rFonts w:ascii="Cambria Math" w:hAnsi="Cambria Math"/>
              </w:rPr>
            </m:ctrlPr>
          </m:sup>
        </m:sSup>
        <m:d>
          <m:dPr>
            <m:ctrlPr>
              <w:rPr>
                <w:rFonts w:ascii="Cambria Math" w:hAnsi="Cambria Math"/>
              </w:rPr>
            </m:ctrlPr>
          </m:dPr>
          <m:e>
            <m:r>
              <m:rPr>
                <m:sty m:val="p"/>
              </m:rPr>
              <w:rPr>
                <w:rFonts w:ascii="Cambria Math" w:hAnsi="Cambria Math"/>
              </w:rPr>
              <m:t>n=</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ctrlPr>
              <w:rPr>
                <w:rFonts w:ascii="Cambria Math" w:hAnsi="Cambria Math"/>
              </w:rPr>
            </m:ctrlPr>
          </m:e>
        </m:d>
      </m:oMath>
      <w:r>
        <w:t>，每个</w:t>
      </w:r>
      <m:oMath>
        <m:r>
          <m:rPr>
            <m:sty m:val="p"/>
          </m:rPr>
          <w:rPr>
            <w:rFonts w:ascii="Cambria Math" w:hAnsi="Cambria Math"/>
          </w:rPr>
          <m:t>i∈N</m:t>
        </m:r>
      </m:oMath>
      <w:r>
        <w:t xml:space="preserve">. </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(x)为第第i个经济主体与其它经济主体商品交换后获得效用增加，</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(x)≥0，所有i。</w:t>
      </w:r>
      <m:oMath>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r>
          <m:rPr>
            <m:sty m:val="p"/>
          </m:rPr>
          <w:rPr>
            <w:rFonts w:ascii="Cambria Math" w:hAnsi="Cambria Math"/>
          </w:rPr>
          <m:t>∈X</m:t>
        </m:r>
      </m:oMath>
      <w:r>
        <w:t xml:space="preserve"> 为帕累托优化竞争性均衡的商品交换。</w:t>
      </w:r>
    </w:p>
    <w:p>
      <w:r>
        <w:t>本文认为没有任何第三方强制或限制的自由市场经济的任一非投资品商品交换双方获得的商品效用增加都大于或等于零，即f_i(x)≥0，所有i，因此基本规律假设一的均衡是帕累托优化的。</w:t>
      </w:r>
    </w:p>
    <w:p>
      <w:r>
        <w:t>基本假设一是对阿罗-德布鲁模型关于市场经济商品交换存在竞争性均衡的优化，表现在如下三方面。第一，区分了非投资品商品交换和投资品商品交换，认为非投资品交换存在竞争性均衡，投资品商品交换不存在竞争性均衡。第二，明确假设非投资品商品交换的竞争性均衡是帕累托优化的，以区分非帕累托优化的纳什均衡。第三，明确了自由市场的含义是没有任何强制或限制，其物理意义是法律保护每个经济主体的合法资产，法律保证任何商品交换都出于双方自愿。</w:t>
      </w:r>
    </w:p>
    <w:p>
      <w:pPr>
        <w:pStyle w:val="4"/>
        <w:numPr>
          <w:ilvl w:val="0"/>
          <w:numId w:val="2"/>
        </w:numPr>
        <w:ind w:firstLine="420"/>
        <w:rPr>
          <w:rFonts w:hint="eastAsia"/>
          <w:lang w:eastAsia="zh-CN"/>
        </w:rPr>
      </w:pPr>
      <w:r>
        <w:t>基本规律假设二：自由市场经济</w:t>
      </w:r>
      <w:r>
        <w:rPr>
          <w:rFonts w:hint="eastAsia"/>
          <w:lang w:val="en-US" w:eastAsia="zh-CN"/>
        </w:rPr>
        <w:t>难以</w:t>
      </w:r>
      <w:r>
        <w:t>实现劳动力全就业</w:t>
      </w:r>
      <w:r>
        <w:rPr>
          <w:rFonts w:hint="eastAsia"/>
          <w:lang w:eastAsia="zh-CN"/>
        </w:rPr>
        <w:t>。</w:t>
      </w:r>
    </w:p>
    <w:p>
      <w:pPr>
        <w:rPr>
          <w:rFonts w:hint="eastAsia"/>
          <w:lang w:val="en-US" w:eastAsia="zh-CN"/>
        </w:rPr>
      </w:pPr>
      <w:r>
        <w:rPr>
          <w:rFonts w:hint="eastAsia"/>
          <w:lang w:val="en-US" w:eastAsia="zh-CN"/>
        </w:rPr>
        <w:t>附录2关于商品生产竞争的讨论表明，社会对某商品的购买量决定该商品生产的均衡产量，该商品的生产产能往往大于该产品的均衡产量。把这结论扩展到宏观角度就是社会需求决定社会产出，社会产能往往大于社会需求，劳动力难以实现全就业。</w:t>
      </w:r>
    </w:p>
    <w:p>
      <w:pPr>
        <w:rPr>
          <w:rFonts w:hint="default"/>
          <w:lang w:val="en-US" w:eastAsia="zh-CN"/>
        </w:rPr>
      </w:pPr>
      <w:r>
        <w:t>经济危机时，家庭收入减少，家庭消费需求减少，进一步导致生产消费品的投资需求减少</w:t>
      </w:r>
      <w:r>
        <w:rPr>
          <w:rFonts w:hint="eastAsia"/>
          <w:lang w:eastAsia="zh-CN"/>
        </w:rPr>
        <w:t>，</w:t>
      </w:r>
      <w:r>
        <w:rPr>
          <w:rFonts w:hint="eastAsia"/>
          <w:lang w:val="en-US" w:eastAsia="zh-CN"/>
        </w:rPr>
        <w:t>最后导致就业人口减少</w:t>
      </w:r>
      <w:r>
        <w:t>。这解释了经济危机时劳动力大量失业的原因。</w:t>
      </w:r>
      <w:r>
        <w:rPr>
          <w:rFonts w:hint="eastAsia"/>
          <w:lang w:val="en-US" w:eastAsia="zh-CN"/>
        </w:rPr>
        <w:t>存在</w:t>
      </w:r>
      <w:r>
        <w:t>劳动力失业时，政府投资提高社会需求，提高社会就业，提高家庭收入，提高家庭消费，提高满足政府投资需求和家庭消费需求的私人部门投资需求，并进一步提高就业和家庭消费</w:t>
      </w:r>
      <w:r>
        <w:rPr>
          <w:rFonts w:hint="eastAsia"/>
          <w:lang w:eastAsia="zh-CN"/>
        </w:rPr>
        <w:t>。</w:t>
      </w:r>
      <w:r>
        <w:fldChar w:fldCharType="begin"/>
      </w:r>
      <w:r>
        <w:instrText xml:space="preserve"> ADDIN EN.CITE &lt;EndNote&gt;&lt;Cite AuthorYear="1"&gt;&lt;Author&gt;Adb&lt;/Author&gt;&lt;Year&gt;2016&lt;/Year&gt;&lt;RecNum&gt;941&lt;/RecNum&gt;&lt;DisplayText&gt;Adb, Furceri, &amp;amp; Imf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fldChar w:fldCharType="separate"/>
      </w:r>
      <w:r>
        <w:t>Adb, Furceri, &amp; Imf (2016)</w:t>
      </w:r>
      <w:r>
        <w:fldChar w:fldCharType="end"/>
      </w:r>
      <w:r>
        <w:t>用17个OECD国家1985-2013期间数据分析政府公共投资的效应，其结论是政府投资无论是长期还是短期都增加社会产出，激发而不是抑制私人部门投资，并减少社会失业。该研究支持本文的</w:t>
      </w:r>
      <w:r>
        <w:rPr>
          <w:rFonts w:hint="eastAsia"/>
          <w:lang w:val="en-US" w:eastAsia="zh-CN"/>
        </w:rPr>
        <w:t>前述</w:t>
      </w:r>
      <w:r>
        <w:t>分析。</w:t>
      </w:r>
      <w:r>
        <w:rPr>
          <w:rFonts w:hint="eastAsia"/>
          <w:lang w:val="en-US" w:eastAsia="zh-CN"/>
        </w:rPr>
        <w:t>这为政府投资提供了理论空间。政府投资和支出的意义及约束本文将在第四节进一步讨论。</w:t>
      </w:r>
    </w:p>
    <w:p>
      <w:pPr>
        <w:ind w:firstLineChars="0"/>
        <w:rPr>
          <w:rFonts w:hint="default" w:eastAsia="宋体"/>
          <w:lang w:val="en-US" w:eastAsia="zh-CN"/>
        </w:rPr>
      </w:pPr>
      <w:r>
        <w:t>基本规律假设二</w:t>
      </w:r>
      <w:r>
        <w:rPr>
          <w:rFonts w:hint="eastAsia"/>
          <w:lang w:val="en-US" w:eastAsia="zh-CN"/>
        </w:rPr>
        <w:t>与</w:t>
      </w:r>
      <w:r>
        <w:t>索洛关于自由市场经济能实现劳动力全就业和社会产能全利用的基本规律假设</w:t>
      </w:r>
      <w:r>
        <w:rPr>
          <w:rFonts w:hint="eastAsia"/>
          <w:lang w:val="en-US" w:eastAsia="zh-CN"/>
        </w:rPr>
        <w:t>相反</w:t>
      </w:r>
      <w:r>
        <w:t>。</w:t>
      </w:r>
      <w:r>
        <w:rPr>
          <w:rFonts w:hint="eastAsia"/>
          <w:lang w:val="en-US" w:eastAsia="zh-CN"/>
        </w:rPr>
        <w:t>这意味着本文将提出一个新的市场经济理论框架。</w:t>
      </w:r>
    </w:p>
    <w:p>
      <w:pPr>
        <w:widowControl/>
        <w:rPr>
          <w:szCs w:val="21"/>
        </w:rPr>
      </w:pPr>
      <w:r>
        <w:t>（三）基本规律假设三：</w:t>
      </w:r>
      <w:r>
        <w:rPr>
          <w:szCs w:val="21"/>
        </w:rPr>
        <w:t>知识为</w:t>
      </w:r>
      <m:oMath>
        <m:r>
          <m:rPr>
            <m:sty m:val="p"/>
          </m:rPr>
          <w:rPr>
            <w:rFonts w:ascii="Cambria Math" w:hAnsi="Cambria Math"/>
            <w:szCs w:val="21"/>
          </w:rPr>
          <m:t>无限维为</m:t>
        </m:r>
        <m:sSup>
          <m:sSupPr>
            <m:ctrlPr>
              <w:rPr>
                <w:rFonts w:ascii="Cambria Math" w:hAnsi="Cambria Math"/>
                <w:i/>
                <w:szCs w:val="21"/>
              </w:rPr>
            </m:ctrlPr>
          </m:sSupPr>
          <m:e>
            <m:r>
              <m:rPr/>
              <w:rPr>
                <w:rFonts w:ascii="Cambria Math" w:hAnsi="Cambria Math"/>
                <w:szCs w:val="21"/>
              </w:rPr>
              <m:t>A</m:t>
            </m:r>
            <m:ctrlPr>
              <w:rPr>
                <w:rFonts w:ascii="Cambria Math" w:hAnsi="Cambria Math"/>
                <w:i/>
                <w:szCs w:val="21"/>
              </w:rPr>
            </m:ctrlPr>
          </m:e>
          <m:sup>
            <m:r>
              <m:rPr/>
              <w:rPr>
                <w:rFonts w:ascii="Cambria Math" w:hAnsi="Cambria Math"/>
                <w:szCs w:val="21"/>
              </w:rPr>
              <m:t>n</m:t>
            </m:r>
            <m:ctrlPr>
              <w:rPr>
                <w:rFonts w:ascii="Cambria Math" w:hAnsi="Cambria Math"/>
                <w:i/>
                <w:szCs w:val="21"/>
              </w:rPr>
            </m:ctrlPr>
          </m:sup>
        </m:sSup>
      </m:oMath>
      <w:r>
        <w:rPr>
          <w:szCs w:val="21"/>
        </w:rPr>
        <w:t>，</w:t>
      </w:r>
      <m:oMath>
        <m:r>
          <m:rPr>
            <m:sty m:val="p"/>
          </m:rPr>
          <w:rPr>
            <w:rFonts w:ascii="Cambria Math" w:hAnsi="Cambria Math"/>
            <w:szCs w:val="21"/>
          </w:rPr>
          <m:t>n∈（0,∞）</m:t>
        </m:r>
      </m:oMath>
      <w:r>
        <w:rPr>
          <w:szCs w:val="21"/>
        </w:rPr>
        <w:t>,任一维为无限大，</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∈（0,∞），</m:t>
        </m:r>
        <m:r>
          <m:rPr/>
          <w:rPr>
            <w:rFonts w:ascii="Cambria Math" w:hAnsi="Cambria Math"/>
            <w:szCs w:val="21"/>
          </w:rPr>
          <m:t>i∈N</m:t>
        </m:r>
      </m:oMath>
      <w:r>
        <w:rPr>
          <w:szCs w:val="21"/>
        </w:rPr>
        <w:t>，但一定时间内任一维知识的增长都不会超过某一常数,</w:t>
      </w:r>
      <m:oMath>
        <m:f>
          <m:fPr>
            <m:type m:val="skw"/>
            <m:ctrlPr>
              <w:rPr>
                <w:rFonts w:ascii="Cambria Math" w:hAnsi="Cambria Math"/>
                <w:i/>
                <w:szCs w:val="21"/>
              </w:rPr>
            </m:ctrlPr>
          </m:fPr>
          <m:num>
            <m:r>
              <m:rPr/>
              <w:rPr>
                <w:rFonts w:ascii="Cambria Math" w:hAnsi="Cambria Math"/>
                <w:szCs w:val="21"/>
              </w:rPr>
              <m:t>d</m:t>
            </m:r>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num>
          <m:den>
            <m:r>
              <m:rPr/>
              <w:rPr>
                <w:rFonts w:ascii="Cambria Math" w:hAnsi="Cambria Math"/>
                <w:szCs w:val="21"/>
              </w:rPr>
              <m:t>dt</m:t>
            </m:r>
            <m:ctrlPr>
              <w:rPr>
                <w:rFonts w:ascii="Cambria Math" w:hAnsi="Cambria Math"/>
                <w:szCs w:val="21"/>
              </w:rPr>
            </m:ctrlPr>
          </m:den>
        </m:f>
        <m:r>
          <m:rPr>
            <m:sty m:val="p"/>
          </m:rPr>
          <w:rPr>
            <w:rFonts w:ascii="Cambria Math" w:hAnsi="Cambria Math"/>
            <w:szCs w:val="21"/>
          </w:rPr>
          <m:t>&lt;α,</m:t>
        </m:r>
        <m:r>
          <m:rPr/>
          <w:rPr>
            <w:rFonts w:ascii="Cambria Math" w:hAnsi="Cambria Math"/>
            <w:szCs w:val="21"/>
          </w:rPr>
          <m:t>i∈N</m:t>
        </m:r>
      </m:oMath>
      <w:r>
        <w:rPr>
          <w:szCs w:val="21"/>
        </w:rPr>
        <w:t>，的欧氏空间。</w:t>
      </w:r>
    </w:p>
    <w:p>
      <w:r>
        <w:t>基本假设三是对罗默关于知识假设的优化，表现在如下三个方面。</w:t>
      </w:r>
    </w:p>
    <w:p>
      <w:r>
        <w:t>第一，本文认为知识增加能产出性能更好或成本更低的产品而实现经济增长。知识是无限维，任一维知识无上限的变量，意味着知识增加能带来各种不同的新产品经济而实现经济单调持续无上限增长。罗默仅仅从宏观视角看知识，没有从微观视角看知识的异质性和新知识产出各种新产品。</w:t>
      </w:r>
    </w:p>
    <w:p>
      <w:r>
        <w:t>第二，本文假设知识是所有经济主体的内生变量。人口投资知识希望在市场竞争中获得更好的工资，私人部门企业投资知识搞研发和改善管理以提高市场竞争力，政府投资科学与技术研究以促进全经济体知识水平的提高。罗默假设知识仅仅是私人部门企业为盈利而投资的资本积累，是私人部门的内生变量。</w:t>
      </w:r>
    </w:p>
    <w:p>
      <w:r>
        <w:t>第三，本文假设一定时间内任一维知识的增长不超过某一常数意味着经济产出在一定时间内是有上限的。罗默假设一定时间内知识的增长不超过某一常数为满足索洛模型经济产出是收敛的条件。即本文假设短期经济产出有上限，新古典学派假设短期经济产出收敛。</w:t>
      </w:r>
    </w:p>
    <w:p>
      <w:pPr>
        <w:pStyle w:val="4"/>
        <w:ind w:firstLine="420"/>
      </w:pPr>
      <w:r>
        <w:t>（四）关于消费的假设</w:t>
      </w:r>
    </w:p>
    <w:p>
      <w:pPr>
        <w:rPr>
          <w:szCs w:val="21"/>
        </w:rPr>
      </w:pPr>
      <w:r>
        <w:rPr>
          <w:szCs w:val="21"/>
        </w:rPr>
        <w:t>阿罗</w:t>
      </w:r>
      <w:r>
        <w:rPr>
          <w:rFonts w:hint="eastAsia"/>
          <w:szCs w:val="21"/>
          <w:lang w:val="en-US" w:eastAsia="zh-CN"/>
        </w:rPr>
        <w:t>-</w:t>
      </w:r>
      <w:r>
        <w:rPr>
          <w:szCs w:val="21"/>
        </w:rPr>
        <w:t>德布鲁模型和卢卡斯模型分别提出了关于商品消费存在效用时间优化的基本规律假设，其物理意义是商品生产不能很好地满足消费需求，消费应该节约。附录2已阐述，社会需求决定商品产出，普遍情形是商品生产能力大于商品消费能力，商品消费做效用时间优化不是经济活动的主要矛盾。因此，本文不对商品消费做基本规律假设。</w:t>
      </w:r>
    </w:p>
    <w:p>
      <w:pPr>
        <w:rPr>
          <w:szCs w:val="21"/>
        </w:rPr>
      </w:pPr>
      <w:r>
        <w:rPr>
          <w:szCs w:val="21"/>
        </w:rPr>
        <w:t>本文基本规律假设一关于非投资品商品交换，基本规律假设二关于商品生产，基本规律假设三关于知识，这三个基本规律假设关于经济活动的不同方面，互相独立。这三个假设是对新古典学派和凯恩斯学派关于市场经济基本规律假设的优化改进。</w:t>
      </w:r>
    </w:p>
    <w:p>
      <w:pPr>
        <w:rPr>
          <w:rFonts w:asciiTheme="minorEastAsia" w:hAnsiTheme="minorEastAsia" w:eastAsiaTheme="minorEastAsia" w:cstheme="minorEastAsia"/>
          <w:szCs w:val="21"/>
        </w:rPr>
      </w:pPr>
    </w:p>
    <w:p>
      <w:pPr>
        <w:pStyle w:val="2"/>
      </w:pPr>
      <w:r>
        <w:rPr>
          <w:rFonts w:hint="eastAsia"/>
        </w:rPr>
        <w:t>四、政府管理的市场经济数学模型</w:t>
      </w:r>
    </w:p>
    <w:p>
      <w:r>
        <w:rPr>
          <w:rFonts w:hint="eastAsia"/>
        </w:rPr>
        <w:t>本节先讨论</w:t>
      </w:r>
      <w:r>
        <w:rPr>
          <w:rFonts w:hint="default"/>
        </w:rPr>
        <w:t>没有</w:t>
      </w:r>
      <w:r>
        <w:rPr>
          <w:rFonts w:hint="eastAsia"/>
        </w:rPr>
        <w:t>国际经济的封闭的政府管理的市场经济数学模型，然后</w:t>
      </w:r>
      <w:r>
        <w:rPr>
          <w:rFonts w:hint="default"/>
        </w:rPr>
        <w:t>放松到</w:t>
      </w:r>
      <w:r>
        <w:rPr>
          <w:rFonts w:hint="eastAsia"/>
        </w:rPr>
        <w:t>含国际贸易但管理私人部门资本跨境流动</w:t>
      </w:r>
      <w:r>
        <w:rPr>
          <w:rFonts w:hint="default"/>
        </w:rPr>
        <w:t>的</w:t>
      </w:r>
      <w:r>
        <w:rPr>
          <w:rFonts w:hint="eastAsia"/>
        </w:rPr>
        <w:t>半封闭政府管理的市场经济数学模型。</w:t>
      </w:r>
    </w:p>
    <w:p>
      <w:pPr>
        <w:pStyle w:val="4"/>
        <w:ind w:firstLine="420"/>
      </w:pPr>
      <w:r>
        <w:rPr>
          <w:rFonts w:hint="eastAsia"/>
        </w:rPr>
        <w:t>（一）封闭模型描述</w:t>
      </w:r>
    </w:p>
    <w:p>
      <w:r>
        <w:rPr>
          <w:rFonts w:hint="eastAsia"/>
        </w:rPr>
        <w:t>封闭模型包括私人部门和政府部门。政府部门（以下有时简称政府）包括中央政府和各级地方政府，政府投资的各类组织如国企、大学、科研院所、中小学和医院等。由中央银行（以下称央行），商业银行和政策性银行组成的货币机构也为政府部门。个人和家庭及其投资的各类组织如企业等为私人部门，私人部门与政府部门合资投资的各类组织企业为私人部门。简化起见，把货币机构抽象成没有产出和支出的纯债权债务枢纽，其实际收入和支出归为政府部门。除非特别说明，本文以下部分政府部门包括货币机构的产出和支出但不包括其债权和债务。</w:t>
      </w:r>
    </w:p>
    <w:p>
      <w:r>
        <w:rPr>
          <w:rFonts w:hint="eastAsia"/>
        </w:rPr>
        <w:t>央行依国家法律给商业银行和政策性银行拨入资本金，商业银行依央行制定的管理办法给私人部门贷款，政策性银行依央行制定的管理办法给政府部门贷款。央行根据管理需要拨给商业银行和政策性银行资本金，以管理商业银行和政策性银行的贷款规模，管理货币供应量增长率，管理社会需求。</w:t>
      </w:r>
    </w:p>
    <w:p>
      <w:r>
        <w:rPr>
          <w:rFonts w:hint="eastAsia"/>
        </w:rPr>
        <w:t>央行拨给商业银行和政策性银行的资本金是法令的，没有实物基础虚拟的。央行可以无上限给商业银行和政策性银行拨入资本金，商业银行可免遭储蓄客户挤兑，模型经济体可免于金融危机。</w:t>
      </w:r>
    </w:p>
    <w:p>
      <w:r>
        <w:rPr>
          <w:rFonts w:hint="eastAsia"/>
        </w:rPr>
        <w:t>货币机构为私人部门和政府部门的投资和支出提供部分资金。政府财政由政策性银行贷款平衡，即由货币发行平衡，是货币发行财政。私人部门的最终坏账也由货币机构承担。</w:t>
      </w:r>
    </w:p>
    <w:p>
      <w:r>
        <w:rPr>
          <w:rFonts w:hint="eastAsia"/>
        </w:rPr>
        <w:t>总之，模型经济体政府通过虚拟的货币体系管理市场经济。</w:t>
      </w:r>
    </w:p>
    <w:p>
      <w:pPr>
        <w:pStyle w:val="4"/>
        <w:ind w:firstLine="420"/>
      </w:pPr>
      <w:r>
        <w:rPr>
          <w:rFonts w:hint="eastAsia"/>
        </w:rPr>
        <w:t>（二）全球市场经济体货币体系发展趋势</w:t>
      </w:r>
    </w:p>
    <w:p>
      <w:r>
        <w:rPr>
          <w:rFonts w:hint="eastAsia"/>
        </w:rPr>
        <w:t>商业银行业务是借短放长，储户存款是商业银行的短期债务，而商业银行放给客户的贷款是商业银行的长期债权，两者时间是错配的；并且商业银行放给客户的贷款比储户存在商业银行的存款高若干倍，两者数量也是错配的；这意味着商业银行具有内在的脆弱性。如果因为种种原因储户对在品质较差商业银行的存款安全产生担忧而集体取出存款，品质较差的商业银行将无法满足储户集体取款的要求而破产。品质较差的商业银行破产将影响品质好的银行，导致储户从品质好的银行集体取出存款，最后导致金融危机爆发。金融危机爆发，银行收缩流动性，社会需求萎缩，资产价格下降，更多企业破产，金融危机进一步加深，最后导致全面的金融危机和经济危机</w:t>
      </w:r>
      <w:r>
        <w:fldChar w:fldCharType="begin"/>
      </w:r>
      <w:r>
        <w:instrText xml:space="preserve"> ADDIN EN.CITE &lt;EndNote&gt;&lt;Cite&gt;&lt;Author&gt;Grauwe&lt;/Author&gt;&lt;Year&gt;2010&lt;/Year&gt;&lt;RecNum&gt;951&lt;/RecNum&gt;&lt;DisplayText&gt;(Grauwe, 2010)&lt;/DisplayText&gt;&lt;record&gt;&lt;rec-number&gt;951&lt;/rec-number&gt;&lt;foreign-keys&gt;&lt;key app="EN" db-id="dfw50pzpwrep2aeerx4v2xdyaa5vzeftr0xv" timestamp="1674197932"&gt;951&lt;/key&gt;&lt;/foreign-keys&gt;&lt;ref-type name="Book Section"&gt;5&lt;/ref-type&gt;&lt;contributors&gt;&lt;authors&gt;&lt;author&gt;Grauwe, Paul De&lt;/author&gt;&lt;/authors&gt;&lt;/contributors&gt;&lt;titles&gt;&lt;title&gt;The banking crisis: causes, consequences and remedies&lt;/title&gt;&lt;secondary-title&gt;The Global Crash&lt;/secondary-title&gt;&lt;/titles&gt;&lt;pages&gt;10-31&lt;/pages&gt;&lt;dates&gt;&lt;year&gt;2010&lt;/year&gt;&lt;/dates&gt;&lt;publisher&gt;Springer&lt;/publisher&gt;&lt;urls&gt;&lt;/urls&gt;&lt;/record&gt;&lt;/Cite&gt;&lt;/EndNote&gt;</w:instrText>
      </w:r>
      <w:r>
        <w:fldChar w:fldCharType="separate"/>
      </w:r>
      <w:r>
        <w:t>(Grauwe, 2010)</w:t>
      </w:r>
      <w:r>
        <w:fldChar w:fldCharType="end"/>
      </w:r>
      <w:r>
        <w:rPr>
          <w:rFonts w:hint="eastAsia"/>
        </w:rPr>
        <w:t>。</w:t>
      </w:r>
    </w:p>
    <w:p>
      <w:r>
        <w:rPr>
          <w:rFonts w:hint="eastAsia"/>
        </w:rPr>
        <w:t>因为市场经济顽固地爆发周期性金融危机和经济危机，英美等市场经济国家纷纷成立央行以改善商业银行的固有脆弱性。央行作为政府部门，其使命是维护金融稳定和经济稳定。在平时，央行通过加息或减息等货币政策调节经济的过热或过冷，保持经济稳定；在特殊时期，央行作为最后贷款人为商业银行提供无上限的流动性保证商业银行不因储户集体性取款而破产</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lang w:eastAsia="zh-CN"/>
        </w:rPr>
        <w:t>，</w:t>
      </w:r>
      <w:r>
        <w:rPr>
          <w:rFonts w:hint="eastAsia"/>
          <w:lang w:val="en-US" w:eastAsia="zh-CN"/>
        </w:rPr>
        <w:t>2012</w:t>
      </w:r>
      <w:r>
        <w:t>)</w:t>
      </w:r>
      <w:r>
        <w:fldChar w:fldCharType="end"/>
      </w:r>
      <w:r>
        <w:rPr>
          <w:rFonts w:hint="eastAsia"/>
        </w:rPr>
        <w:t>。</w:t>
      </w:r>
    </w:p>
    <w:p>
      <w:r>
        <w:rPr>
          <w:rFonts w:hint="eastAsia"/>
        </w:rPr>
        <w:t>2007至2008年，美国次贷危机爆发，美联储一方面降低利率另一方面大规模购买抵押背书证券（MBS）以应对金融困难</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lang w:eastAsia="zh-CN"/>
        </w:rPr>
        <w:t>，</w:t>
      </w:r>
      <w:r>
        <w:rPr>
          <w:rFonts w:hint="eastAsia"/>
          <w:lang w:val="en-US" w:eastAsia="zh-CN"/>
        </w:rPr>
        <w:t>2012</w:t>
      </w:r>
      <w:r>
        <w:t>)</w:t>
      </w:r>
      <w:r>
        <w:fldChar w:fldCharType="end"/>
      </w:r>
      <w:r>
        <w:rPr>
          <w:rFonts w:hint="eastAsia"/>
        </w:rPr>
        <w:t>。2020年新冠疫情在全球爆发，美联储和全球30个以上中央银行集体行动实现量化宽松货币政策，购买问题证券为金融市场注入流动性</w:t>
      </w:r>
      <w:r>
        <w:fldChar w:fldCharType="begin"/>
      </w:r>
      <w:r>
        <w:instrText xml:space="preserve"> ADDIN EN.CITE &lt;EndNote&gt;&lt;Cite&gt;&lt;Author&gt;House&lt;/Author&gt;&lt;Year&gt;2010&lt;/Year&gt;&lt;RecNum&gt;946&lt;/RecNum&gt;&lt;DisplayText&gt;(House &amp;amp; Masatlioglu, 2010)&lt;/DisplayText&gt;&lt;record&gt;&lt;rec-number&gt;946&lt;/rec-number&gt;&lt;foreign-keys&gt;&lt;key app="EN" db-id="dfw50pzpwrep2aeerx4v2xdyaa5vzeftr0xv" timestamp="1674197594"&gt;946&lt;/key&gt;&lt;/foreign-keys&gt;&lt;ref-type name="Report"&gt;27&lt;/ref-type&gt;&lt;contributors&gt;&lt;authors&gt;&lt;author&gt;House, Christopher L.&lt;/author&gt;&lt;author&gt;Masatlioglu, Yusufcan&lt;/author&gt;&lt;/authors&gt;&lt;/contributors&gt;&lt;titles&gt;&lt;title&gt;Managing markets for toxic assets&lt;/title&gt;&lt;/titles&gt;&lt;dates&gt;&lt;year&gt;2010&lt;/year&gt;&lt;/dates&gt;&lt;publisher&gt;National Bureau of Economic Research&lt;/publisher&gt;&lt;urls&gt;&lt;/urls&gt;&lt;/record&gt;&lt;/Cite&gt;&lt;/EndNote&gt;</w:instrText>
      </w:r>
      <w:r>
        <w:fldChar w:fldCharType="separate"/>
      </w:r>
      <w:r>
        <w:t>(House &amp; Masatlioglu, 2010)</w:t>
      </w:r>
      <w:r>
        <w:fldChar w:fldCharType="end"/>
      </w:r>
      <w:r>
        <w:rPr>
          <w:rFonts w:hint="eastAsia"/>
        </w:rPr>
        <w:t>。2007、2008和2020年，美国因为货币量化宽松政策而避免了大量商业银行及其它金融机构倒闭，避免了金融危机。</w:t>
      </w:r>
    </w:p>
    <w:p>
      <w:r>
        <w:t>中国自1999年开始成立四大资产管理公司剥离工，建，农，中四大国有商业银行不良资产，让四大国有商业银行恢复健康的资金中介功能</w:t>
      </w:r>
      <w:r>
        <w:fldChar w:fldCharType="begin"/>
      </w:r>
      <w:r>
        <w:instrText xml:space="preserve"> ADDIN EN.CITE &lt;EndNote&gt;&lt;Cite&gt;&lt;Author&gt;丁春燕&lt;/Author&gt;&lt;Year&gt;2008&lt;/Year&gt;&lt;RecNum&gt;962&lt;/RecNum&gt;&lt;DisplayText&gt;(丁春燕, 2008)&lt;/DisplayText&gt;&lt;record&gt;&lt;rec-number&gt;962&lt;/rec-number&gt;&lt;foreign-keys&gt;&lt;key app="EN" db-id="dfw50pzpwrep2aeerx4v2xdyaa5vzeftr0xv" timestamp="1674198322"&gt;962&lt;/key&gt;&lt;/foreign-keys&gt;&lt;ref-type name="Journal Article"&gt;17&lt;/ref-type&gt;&lt;contributors&gt;&lt;authors&gt;&lt;author&gt;&lt;style face="normal" font="default" charset="134" size="100%"&gt;丁春燕&lt;/style&gt;&lt;/author&gt;&lt;/authors&gt;&lt;/contributors&gt;&lt;titles&gt;&lt;title&gt;&lt;style face="normal" font="default" charset="134" size="100%"&gt;商业银行不良资产剥离问题研究综述&lt;/style&gt;&lt;/title&gt;&lt;secondary-title&gt;&lt;style face="normal" font="default" charset="134" size="100%"&gt;时代经贸&lt;/style&gt;&lt;style face="normal" font="default" size="100%"&gt;(&lt;/style&gt;&lt;style face="normal" font="default" charset="134" size="100%"&gt;中旬刊&lt;/style&gt;&lt;style face="normal" font="default" size="100%"&gt;)&lt;/style&gt;&lt;/secondary-title&gt;&lt;/titles&gt;&lt;periodical&gt;&lt;full-title&gt;时代经贸(中旬刊)&lt;/full-title&gt;&lt;/periodical&gt;&lt;pages&gt;199-201&lt;/pages&gt;&lt;number&gt;S3&lt;/number&gt;&lt;keywords&gt;&lt;keyword&gt;商业银行不良资产&lt;/keyword&gt;&lt;keyword&gt;不良贷款&lt;/keyword&gt;&lt;keyword&gt;不良资产剥离&lt;/keyword&gt;&lt;keyword&gt;国有商业银行&lt;/keyword&gt;&lt;keyword&gt;二次剥离&lt;/keyword&gt;&lt;keyword&gt;研究综述&lt;/keyword&gt;&lt;/keywords&gt;&lt;dates&gt;&lt;year&gt;2008&lt;/year&gt;&lt;/dates&gt;&lt;urls&gt;&lt;/urls&gt;&lt;/record&gt;&lt;/Cite&gt;&lt;/EndNote&gt;</w:instrText>
      </w:r>
      <w:r>
        <w:fldChar w:fldCharType="separate"/>
      </w:r>
      <w:r>
        <w:t>(丁春燕, 2008)</w:t>
      </w:r>
      <w:r>
        <w:fldChar w:fldCharType="end"/>
      </w:r>
      <w:r>
        <w:t>。中国因此从未爆发金融危机和经济危机。</w:t>
      </w:r>
    </w:p>
    <w:p>
      <w:r>
        <w:t>以上分析表明，全球市场经济体政府通过央行对商业银行的干预越来越多，而政府通过央行购买商业银行的不良资产意味着政府为商业银行的经营失败负最终责任，这实质上走向了货币体系政府化。上述分析表明，货币体系政府化其积极效果是显著的。</w:t>
      </w:r>
    </w:p>
    <w:p>
      <w:r>
        <w:t>货币体系政府化的结果是货币性质发生改变，货币本身不再是财富，而是政府管理市场经济的虚拟工具。在封闭的模型经济体里，债权债务宏观上总和为零。</w:t>
      </w:r>
    </w:p>
    <w:p>
      <w:pPr>
        <w:pStyle w:val="4"/>
        <w:ind w:firstLine="420"/>
      </w:pPr>
      <w:r>
        <w:t>（三）封闭模型各类关系方程</w:t>
      </w:r>
    </w:p>
    <w:p>
      <w:r>
        <w:t>1. 部门债权债务平衡方程</w:t>
      </w:r>
    </w:p>
    <w:p>
      <w:r>
        <w:t>（1）货币机构债权债务平衡方程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  </w:t>
            </w:r>
          </w:p>
        </w:tc>
        <w:tc>
          <w:tcPr>
            <w:tcW w:w="930" w:type="dxa"/>
            <w:vAlign w:val="center"/>
          </w:tcPr>
          <w:p>
            <w:pPr>
              <w:ind w:firstLine="0" w:firstLineChars="0"/>
              <w:jc w:val="right"/>
            </w:pPr>
            <w: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rPr>
                <w:bCs/>
                <w:szCs w:val="21"/>
              </w:rP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=D</w:t>
            </w:r>
          </w:p>
        </w:tc>
        <w:tc>
          <w:tcPr>
            <w:tcW w:w="930" w:type="dxa"/>
            <w:vAlign w:val="center"/>
          </w:tcPr>
          <w:p>
            <w:pPr>
              <w:ind w:firstLine="0" w:firstLineChars="0"/>
              <w:jc w:val="right"/>
            </w:pPr>
            <w: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260" w:firstLineChars="600"/>
              <w:jc w:val="center"/>
              <w:rPr>
                <w:bCs/>
                <w:szCs w:val="21"/>
              </w:rPr>
            </w:pPr>
            <w:r>
              <w:rPr>
                <w:b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)=M-D</w:t>
            </w:r>
          </w:p>
        </w:tc>
        <w:tc>
          <w:tcPr>
            <w:tcW w:w="930" w:type="dxa"/>
            <w:vAlign w:val="center"/>
          </w:tcPr>
          <w:p>
            <w:pPr>
              <w:ind w:firstLine="0" w:firstLineChars="0"/>
              <w:jc w:val="right"/>
            </w:pPr>
            <w:r>
              <w:t>(4-3)</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为政府部门在货币机构的储蓄余额；M为私人部门和政府部门在货币机构的合计储蓄余额，可视为货币供应量；D为货币机构给私人部门和政府部门的总贷款余额；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为货币机构给政府部门的贷款余额，包括给国企的贷款余额和持有的国债余额。</w:t>
      </w:r>
    </w:p>
    <w:p>
      <w:r>
        <w:t>式（4-3）是货币机构主体的债权债务定义式方程，其物理意义是货币机构通过货币发行（贷款余额增加）为私人部门和政府部门提供一定的资金来源。因为货币机构是政府部门，因此也可以说政府部门通过货币发行机制为私人部门和自身提供部分资金来源。</w:t>
      </w:r>
    </w:p>
    <w:p>
      <w:r>
        <w:t>（2）私人部门与政府部门债权债务平衡方程</w:t>
      </w:r>
    </w:p>
    <w:p>
      <w:r>
        <w:t xml:space="preserve">式（4-3） 移项后得社会债权债务平衡方程：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szCs w:val="21"/>
              </w:rPr>
              <w:t>=</w:t>
            </w:r>
            <w:r>
              <w:rPr>
                <w:i/>
                <w:i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+M-D  </w:t>
            </w:r>
          </w:p>
        </w:tc>
        <w:tc>
          <w:tcPr>
            <w:tcW w:w="930" w:type="dxa"/>
            <w:vAlign w:val="center"/>
          </w:tcPr>
          <w:p>
            <w:pPr>
              <w:ind w:firstLine="0" w:firstLineChars="0"/>
              <w:jc w:val="right"/>
            </w:pPr>
            <w:r>
              <w:t>(4-4)</w:t>
            </w:r>
          </w:p>
        </w:tc>
      </w:tr>
    </w:tbl>
    <w:p>
      <w:r>
        <w:t>式（4-4）的物理意义是：政府部门（包括货币机构）的净负债等于私人部门的净债权，两者总量对冲为零。</w:t>
      </w:r>
    </w:p>
    <w:p>
      <w:r>
        <w:t>（3）私人部门投资、消费、收入、储蓄和借贷平衡方程</w:t>
      </w:r>
    </w:p>
    <w:p>
      <w:r>
        <w:t>时间t到（t+1）期间，私人部门的投资，消费，收入，储蓄和借贷平衡方程为：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p>
        </w:tc>
        <w:tc>
          <w:tcPr>
            <w:tcW w:w="930" w:type="dxa"/>
            <w:vAlign w:val="center"/>
          </w:tcPr>
          <w:p>
            <w:pPr>
              <w:ind w:firstLine="0" w:firstLineChars="0"/>
              <w:jc w:val="right"/>
            </w:pPr>
            <w:r>
              <w:t>(4-5)</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为私人部门时间t到（t+1）期间的消费；</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 xml:space="preserve"> 私人部门时间t到（t+1）期间的名义价格收入；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为（t+1）时刻私人部门在货币机构的储蓄余额；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为t时刻私人部门在货币机构的储蓄余额；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为（t+1）时刻货币机构给私人部门的贷款余额，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为t时刻货币机构给私人部门的贷款余额。</w:t>
      </w:r>
    </w:p>
    <w:p>
      <w:r>
        <w:t>式（4-5）中各个变量为名义价格，其物理意义是货币机构为私人部门的投资和消费提供部分资金来源。</w:t>
      </w:r>
    </w:p>
    <w:p>
      <w:r>
        <w:t>（4）政府部门收入，储蓄，借贷，投资和消费平衡方程</w:t>
      </w:r>
    </w:p>
    <w:p>
      <w:r>
        <w:t>时间t到（t+1）期间，政府部门的收入，储蓄，借贷，投资和消费平衡方程为：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(4-6)</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为政府部门时间t到（t+1）期间的支出；</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为政府部门时间t到（t+1）期间的名义价格收入；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为（t+1）时刻政府部门在货币机构的储蓄余额；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r>
          <m:rPr>
            <m:sty m:val="p"/>
          </m:rPr>
          <w:rPr>
            <w:rFonts w:ascii="Cambria Math" w:hAnsi="Cambria Math"/>
            <w:szCs w:val="21"/>
          </w:rPr>
          <m:t>为政府部门t时刻在货币机构的储蓄余额；</m:t>
        </m:r>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为（t+1）时刻货币机构给政府部门的贷款余额，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为t时刻货币机构给政府部门的贷款余额。</w:t>
      </w:r>
    </w:p>
    <w:p>
      <w:r>
        <w:t>式（4-6）中的各个变量为名义价格，其物理意义是货币机构为政府部门的投资和支出提供部分资金来源。</w:t>
      </w:r>
    </w:p>
    <w:p>
      <w:pPr>
        <w:ind w:firstLine="0" w:firstLineChars="0"/>
      </w:pPr>
      <w:r>
        <w:t>2. 生产要素</w:t>
      </w:r>
    </w:p>
    <w:p>
      <w:r>
        <w:t>（1）人口及知识积累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bCs/>
                <w:szCs w:val="21"/>
              </w:rPr>
              <w:t xml:space="preserve"> 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859" w:type="dxa"/>
            <w:vAlign w:val="center"/>
          </w:tcPr>
          <w:p>
            <w:pPr>
              <w:ind w:firstLine="0" w:firstLineChars="0"/>
              <w:jc w:val="right"/>
            </w:pPr>
            <w:r>
              <w:t>(4-7)</w:t>
            </w:r>
          </w:p>
        </w:tc>
        <w:tc>
          <w:tcPr>
            <w:tcW w:w="859" w:type="dxa"/>
            <w:vAlign w:val="center"/>
          </w:tcPr>
          <w:p>
            <w:pPr>
              <w:ind w:firstLine="0" w:firstLineChars="0"/>
              <w:jc w:val="right"/>
            </w:pPr>
          </w:p>
        </w:tc>
      </w:tr>
    </w:tbl>
    <w:p>
      <w:pPr>
        <w:rPr>
          <w:rFonts w:hint="default"/>
          <w:bCs/>
          <w:szCs w:val="21"/>
        </w:rPr>
      </w:pPr>
      <w:r>
        <w:rPr>
          <w:bCs/>
          <w:szCs w:val="21"/>
        </w:rPr>
        <w:t xml:space="preserve">式中 </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oMath>
      <w:r>
        <w:rPr>
          <w:bCs/>
          <w:szCs w:val="21"/>
        </w:rPr>
        <w:t>为人口对知识的投资，L为人口及人口对知识的投资积累，t为时间，式（4-7）的物理意义是人口自出生就投资自己的知识，知识是人口的内生变量。人口及知识积累L是反映一个经济体生产力水平和国际竞争力最重要的生产要素之一。</w:t>
      </w:r>
    </w:p>
    <w:p>
      <w:r>
        <w:t>（2）私人部门资本积累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930" w:type="dxa"/>
            <w:vAlign w:val="center"/>
          </w:tcPr>
          <w:p>
            <w:pPr>
              <w:ind w:firstLine="0" w:firstLineChars="0"/>
              <w:jc w:val="right"/>
            </w:pPr>
            <w:r>
              <w:t>(4-8)</w:t>
            </w:r>
          </w:p>
        </w:tc>
      </w:tr>
    </w:tbl>
    <w:p>
      <w:pPr>
        <w:rPr>
          <w:rFonts w:hint="default"/>
        </w:rPr>
      </w:pPr>
      <w:r>
        <w:rPr>
          <w:bCs/>
          <w:szCs w:val="21"/>
        </w:rPr>
        <w:t xml:space="preserve">式中 </w:t>
      </w:r>
      <m:oMath>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Sub>
        <m:r>
          <m:rPr>
            <m:sty m:val="p"/>
          </m:rPr>
          <w:rPr>
            <w:rFonts w:ascii="Cambria Math" w:hAnsi="Cambria Math"/>
            <w:szCs w:val="21"/>
          </w:rPr>
          <m:t>为私人部门投资，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为除人口及知识积累外的私人部门资本积累，包括对知识的投资积累。知识</w:t>
      </w:r>
      <m:oMath>
        <m:r>
          <m:rPr>
            <m:sty m:val="p"/>
          </m:rPr>
          <w:rPr>
            <w:rFonts w:ascii="Cambria Math" w:hAnsi="Cambria Math"/>
            <w:szCs w:val="21"/>
          </w:rPr>
          <m:t>是私人部门的内生变量。</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按即时评估值核算，即时折旧。包涵知识等无形资产的私人部门资本积累是反映一个经济体生产力水平和国际竞争力最重要的生产要素之一。</w:t>
      </w:r>
    </w:p>
    <w:p>
      <w:r>
        <w:t xml:space="preserve"> （3）政府部门资本积累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p>
        </w:tc>
        <w:tc>
          <w:tcPr>
            <w:tcW w:w="930" w:type="dxa"/>
            <w:vAlign w:val="center"/>
          </w:tcPr>
          <w:p>
            <w:pPr>
              <w:ind w:firstLine="0" w:firstLineChars="0"/>
              <w:jc w:val="right"/>
            </w:pPr>
            <w:r>
              <w:t>(4-9)</w:t>
            </w:r>
          </w:p>
        </w:tc>
      </w:tr>
    </w:tbl>
    <w:p>
      <m:oMath>
        <m:r>
          <m:rPr>
            <m:sty m:val="p"/>
          </m:rPr>
          <w:rPr>
            <w:rFonts w:ascii="Cambria Math" w:hAnsi="Cambria Math"/>
            <w:szCs w:val="21"/>
          </w:rPr>
          <m:t>式中</m:t>
        </m:r>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g</m:t>
            </m:r>
            <m:ctrlPr>
              <w:rPr>
                <w:rFonts w:ascii="Cambria Math" w:hAnsi="Cambria Math"/>
                <w:bCs/>
                <w:szCs w:val="21"/>
              </w:rPr>
            </m:ctrlPr>
          </m:sub>
        </m:sSub>
        <m:r>
          <m:rPr>
            <m:sty m:val="p"/>
          </m:rPr>
          <w:rPr>
            <w:rFonts w:ascii="Cambria Math" w:hAnsi="Cambria Math"/>
            <w:szCs w:val="21"/>
          </w:rPr>
          <m:t>为政府部门投资，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资本积累，包括政府投资的大学和科研院所完成的科学与技术研究，政府投资建设的经济基础设施以及政府投资建设的公园等休闲娱乐设施。政府资本积累能减少私人部门外部成本，提高社会生产力水平，提高私人部门企业国际竞争力。知识</w:t>
      </w:r>
      <m:oMath>
        <m:r>
          <m:rPr>
            <m:sty m:val="p"/>
          </m:rPr>
          <w:rPr>
            <w:rFonts w:ascii="Cambria Math" w:hAnsi="Cambria Math"/>
            <w:szCs w:val="21"/>
          </w:rPr>
          <m:t>是政府部门的内生变量</m:t>
        </m:r>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w:t>
      </w:r>
    </w:p>
    <w:p>
      <w:r>
        <w:t xml:space="preserve"> （4）经济体禀赋</w:t>
      </w:r>
    </w:p>
    <w:p>
      <w:r>
        <w:t xml:space="preserve"> 经济体禀赋是新结构经济学的重要概念之一，但</w:t>
      </w:r>
      <w:r>
        <w:fldChar w:fldCharType="begin"/>
      </w:r>
      <w:r>
        <w:instrText xml:space="preserve"> ADDIN EN.CITE &lt;EndNote&gt;&lt;Cite AuthorYear="1"&gt;&lt;Author&gt;林毅夫&lt;/Author&gt;&lt;Year&gt;2011&lt;/Year&gt;&lt;RecNum&gt;971&lt;/RecNum&gt;&lt;DisplayText&gt;林毅夫 (2011)&lt;/DisplayText&gt;&lt;record&gt;&lt;rec-number&gt;971&lt;/rec-number&gt;&lt;foreign-keys&gt;&lt;key app="EN" db-id="dfw50pzpwrep2aeerx4v2xdyaa5vzeftr0xv" timestamp="1675666013"&gt;971&lt;/key&gt;&lt;/foreign-keys&gt;&lt;ref-type name="Journal Article"&gt;17&lt;/ref-type&gt;&lt;contributors&gt;&lt;authors&gt;&lt;author&gt;&lt;style face="normal" font="default" charset="134" size="100%"&gt;林毅夫&lt;/style&gt;&lt;style face="normal" font="default" size="100%"&gt;,&lt;/style&gt;&lt;/author&gt;&lt;/authors&gt;&lt;/contributors&gt;&lt;titles&gt;&lt;title&gt;&lt;style face="normal" font="default" charset="134" size="100%"&gt;新结构经济学——重构发展经济学的框架&lt;/style&gt;&lt;/title&gt;&lt;secondary-title&gt;&lt;style face="normal" font="default" charset="134" size="100%"&gt;经济学&lt;/style&gt;&lt;/secondary-title&gt;&lt;/titles&gt;&lt;periodical&gt;&lt;full-title&gt;经济学&lt;/full-title&gt;&lt;/periodical&gt;&lt;pages&gt;1-32&lt;/pages&gt;&lt;volume&gt;10&lt;/volume&gt;&lt;number&gt;01&lt;/number&gt;&lt;keywords&gt;&lt;keyword&gt;新结构经济学&lt;/keyword&gt;&lt;keyword&gt;比较优势&lt;/keyword&gt;&lt;keyword&gt;新古典经济学&lt;/keyword&gt;&lt;keyword&gt;禀赋结构&lt;/keyword&gt;&lt;keyword&gt;经济学家&lt;/keyword&gt;&lt;/keywords&gt;&lt;dates&gt;&lt;year&gt;2011&lt;/year&gt;&lt;/dates&gt;&lt;urls&gt;&lt;/urls&gt;&lt;electronic-resource-num&gt;10.13821/j.cnki.ceq.2011.01.014&amp;#xD;&lt;/electronic-resource-num&gt;&lt;/record&gt;&lt;/Cite&gt;&lt;/EndNote&gt;</w:instrText>
      </w:r>
      <w:r>
        <w:fldChar w:fldCharType="separate"/>
      </w:r>
      <w:r>
        <w:t>林毅夫 (2011)</w:t>
      </w:r>
      <w:r>
        <w:fldChar w:fldCharType="end"/>
      </w:r>
      <w:r>
        <w:t>对经济体禀赋的含义只做了文字表述。本文对经济体禀赋做如下数学化定量定义。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(4-10)</w:t>
            </w:r>
          </w:p>
        </w:tc>
      </w:tr>
    </w:tbl>
    <w:p>
      <w:r>
        <w:t>式中N为自然资源。式（4-10）是经济体禀赋定义方程。经济体禀赋是本文模型经济体生产要素的综合指标，综合反映一个经济体生产力水平和国际竞争力，是一个经济体特定时刻不变价格社会产出的最大值，其具体含义见后文式（4-13）和图4-2不变价格社会产出与货币供应量增长率关系曲线。</w:t>
      </w:r>
    </w:p>
    <w:p>
      <w:pPr>
        <w:rPr>
          <w:rFonts w:hint="default"/>
        </w:rPr>
      </w:pPr>
      <w:r>
        <w:t>社会产出分消费和投资和两部分，消费改善民众生活水平，投资增加各经济主体资本积累提高经济体禀赋。</w:t>
      </w:r>
    </w:p>
    <w:p>
      <w:r>
        <w:rPr>
          <w:rFonts w:hint="eastAsia"/>
          <w:lang w:val="en-US" w:eastAsia="zh-CN"/>
        </w:rPr>
        <w:t>3</w:t>
      </w:r>
      <w:r>
        <w:t>. 生产函数方程和通货膨胀函数方程</w:t>
      </w:r>
    </w:p>
    <w:p>
      <w:r>
        <w:t>（1）名义价格生产函数方程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rPr>
                <w:bCs/>
                <w:szCs w:val="21"/>
              </w:rPr>
              <w:t>y=A（L，N，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(4-11)</w:t>
            </w:r>
          </w:p>
        </w:tc>
      </w:tr>
    </w:tbl>
    <w:p>
      <w:r>
        <w:rPr>
          <w:bCs/>
          <w:szCs w:val="21"/>
        </w:rPr>
        <w:t>式中y为单位时间名义价格社会产出。式（4-11）为名义价格社会产出定义方程。A（L，N，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）为经济体禀赋函函数，反映经济体含知识的资本积累</w:t>
      </w:r>
      <w:r>
        <w:rPr>
          <w:bCs/>
          <w:i/>
          <w:i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)为名义价格社会产出因子函数，反映经济体社会需求，是货币供应量增长率的函数。函数A（L，N，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)不互相独立。 式（4-11）也可写成：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(4-12)</w:t>
            </w:r>
          </w:p>
        </w:tc>
      </w:tr>
    </w:tbl>
    <w:p>
      <w:pPr>
        <w:rPr>
          <w:bCs/>
          <w:szCs w:val="21"/>
        </w:rPr>
      </w:pPr>
      <w:r>
        <w:rPr>
          <w:bCs/>
          <w:szCs w:val="21"/>
        </w:rPr>
        <w:t>式中</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为货币供应量单位时间增长率。F(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为名义价格社会产出因子函数。式（4-12）的物理意义是名义价格社会产出等于经济体禀赋乘以名义价格社会产出因子函数，即不变价格社会产出由经济体禀赋和当期社会需求决定。</w:t>
      </w:r>
    </w:p>
    <w:p>
      <w:r>
        <w:t>（2）不变价格生产函数方程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(4-13)</w:t>
            </w:r>
          </w:p>
        </w:tc>
      </w:tr>
    </w:tbl>
    <w:p>
      <w:pPr>
        <w:ind w:left="210" w:leftChars="100" w:firstLine="210" w:firstLineChars="100"/>
        <w:rPr>
          <w:bCs/>
          <w:szCs w:val="21"/>
        </w:rPr>
      </w:pPr>
      <w:r>
        <w:rPr>
          <w:bCs/>
          <w:szCs w:val="21"/>
        </w:rPr>
        <w:t>式</w:t>
      </w:r>
      <w:r>
        <w:rPr>
          <w:bCs/>
          <w:i/>
          <w:iCs/>
          <w:szCs w:val="21"/>
        </w:rPr>
        <w:t>中</w:t>
      </w: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为单位时间不变价格社会产出。式（4-13）为不变价格社会产出定义方程</w:t>
      </w:r>
      <w:r>
        <w:rPr>
          <w:bCs/>
          <w:i/>
          <w:i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为不变价格社会产出因子函数，是社会需求或货币供应量增长率的函数。函数A（L，N，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不互相独立。 式（4-13）也可写成：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=a*G(</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 xml:space="preserve">)  </w:t>
            </w:r>
          </w:p>
        </w:tc>
        <w:tc>
          <w:tcPr>
            <w:tcW w:w="930" w:type="dxa"/>
            <w:vAlign w:val="center"/>
          </w:tcPr>
          <w:p>
            <w:pPr>
              <w:ind w:firstLine="0" w:firstLineChars="0"/>
              <w:jc w:val="right"/>
            </w:pPr>
            <w:r>
              <w:t>(4-14)</w:t>
            </w:r>
          </w:p>
        </w:tc>
      </w:tr>
    </w:tbl>
    <w:p>
      <w:pPr>
        <w:rPr>
          <w:rFonts w:hint="default" w:eastAsia="宋体"/>
          <w:lang w:val="en-US" w:eastAsia="zh-CN"/>
        </w:rPr>
      </w:pPr>
      <w:r>
        <w:t>式（4-14）是单位时间不变价格社会产出的定义式方程，其物理意义是不变价格社会产出等于经济禀赋乘以不变价格社会产出因子函数，即不变价格社会产出由经济体禀赋和当期社会需求决定。</w:t>
      </w:r>
      <w:r>
        <w:rPr>
          <w:rFonts w:hint="eastAsia"/>
          <w:lang w:val="en-US" w:eastAsia="zh-CN"/>
        </w:rPr>
        <w:t>后文</w:t>
      </w:r>
      <w:r>
        <w:t>图4-2不变价格社会产出与货币供应量增长率关系曲线</w:t>
      </w:r>
      <w:r>
        <w:rPr>
          <w:rFonts w:hint="eastAsia"/>
          <w:lang w:val="en-US" w:eastAsia="zh-CN"/>
        </w:rPr>
        <w:t>将指出，经济体禀赋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lang w:val="en-US" w:eastAsia="zh-CN"/>
        </w:rPr>
        <w:t>为</w:t>
      </w:r>
      <w:r>
        <w:t>单位时间不变价格社会产出</w:t>
      </w:r>
      <w:r>
        <w:rPr>
          <w:rFonts w:hint="eastAsia"/>
          <w:lang w:val="en-US" w:eastAsia="zh-CN"/>
        </w:rPr>
        <w:t>的上限。</w:t>
      </w:r>
    </w:p>
    <w:p>
      <w:r>
        <w:t xml:space="preserve">（3）通货膨胀率函数方程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(4-15)</w:t>
            </w:r>
          </w:p>
        </w:tc>
      </w:tr>
    </w:tbl>
    <w:p>
      <w:pPr>
        <w:rPr>
          <w:bCs/>
          <w:szCs w:val="21"/>
        </w:rPr>
      </w:pPr>
      <w:r>
        <w:rPr>
          <w:bCs/>
          <w:szCs w:val="21"/>
        </w:rPr>
        <w:t>式中p为通货膨胀率（居民消费品价格上涨率）。</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)为通货膨胀率函数，是社会需求或货币供应量增长率的函数，因而式（4-15）可写成：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p=H(</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(4-16)</w:t>
            </w:r>
          </w:p>
        </w:tc>
      </w:tr>
    </w:tbl>
    <w:p>
      <w:pPr>
        <w:rPr>
          <w:bCs/>
          <w:szCs w:val="21"/>
        </w:rPr>
      </w:pPr>
      <w:r>
        <w:rPr>
          <w:bCs/>
          <w:szCs w:val="21"/>
        </w:rPr>
        <w:t>式</w:t>
      </w:r>
      <w:r>
        <w:rPr>
          <w:rFonts w:hint="eastAsia"/>
          <w:bCs/>
          <w:szCs w:val="21"/>
          <w:lang w:eastAsia="zh-CN"/>
        </w:rPr>
        <w:t>（</w:t>
      </w:r>
      <w:r>
        <w:rPr>
          <w:rFonts w:hint="eastAsia"/>
          <w:bCs/>
          <w:szCs w:val="21"/>
          <w:lang w:val="en-US" w:eastAsia="zh-CN"/>
        </w:rPr>
        <w:t>4-15</w:t>
      </w:r>
      <w:r>
        <w:rPr>
          <w:rFonts w:hint="eastAsia"/>
          <w:bCs/>
          <w:szCs w:val="21"/>
          <w:lang w:eastAsia="zh-CN"/>
        </w:rPr>
        <w:t>），</w:t>
      </w:r>
      <w:r>
        <w:rPr>
          <w:bCs/>
          <w:szCs w:val="21"/>
        </w:rPr>
        <w:t>（4-16）是关于通货膨胀率的定义式方程，其物理意义是通货膨胀率是社会需求或货币供应量增长率的函数。</w:t>
      </w:r>
    </w:p>
    <w:p>
      <w:pPr>
        <w:ind w:firstLineChars="0"/>
      </w:pPr>
      <w:r>
        <w:rPr>
          <w:rFonts w:hint="eastAsia"/>
          <w:lang w:val="en-US" w:eastAsia="zh-CN"/>
        </w:rPr>
        <w:t>4</w:t>
      </w:r>
      <w:r>
        <w:t>. 异质货币数量方程</w:t>
      </w:r>
    </w:p>
    <w:p>
      <w:r>
        <w:t>城市居民住房价格由城市居民货币财富竞争性排序形成，一般商品价格由商品成本决定，两种价格形成机制不同。为此本文提出异质货币数量方程：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M=</w:t>
            </w:r>
            <m:oMath>
              <m:nary>
                <m:naryPr>
                  <m:chr m:val="∑"/>
                  <m:limLoc m:val="undOvr"/>
                  <m:subHide m:val="1"/>
                  <m:supHide m:val="1"/>
                  <m:ctrlPr>
                    <w:rPr>
                      <w:rFonts w:ascii="Cambria Math" w:hAnsi="Cambria Math"/>
                      <w:szCs w:val="21"/>
                    </w:rPr>
                  </m:ctrlPr>
                </m:naryPr>
                <m:sub>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k</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sSub>
                    <m:sSubPr>
                      <m:ctrlPr>
                        <w:rPr>
                          <w:rFonts w:ascii="Cambria Math" w:hAnsi="Cambria Math"/>
                          <w:i/>
                          <w:szCs w:val="21"/>
                        </w:rPr>
                      </m:ctrlPr>
                    </m:sSubPr>
                    <m:e>
                      <m:r>
                        <m:rPr/>
                        <w:rPr>
                          <w:rFonts w:ascii="Cambria Math" w:hAnsi="Cambria Math"/>
                          <w:szCs w:val="21"/>
                        </w:rPr>
                        <m:t>Q</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szCs w:val="21"/>
                    </w:rPr>
                  </m:ctrlPr>
                </m:e>
              </m:nary>
            </m:oMath>
          </w:p>
        </w:tc>
        <w:tc>
          <w:tcPr>
            <w:tcW w:w="930" w:type="dxa"/>
            <w:vAlign w:val="center"/>
          </w:tcPr>
          <w:p>
            <w:pPr>
              <w:ind w:firstLine="0" w:firstLineChars="0"/>
              <w:jc w:val="right"/>
            </w:pPr>
            <w:r>
              <w:t>(4-17)</w:t>
            </w:r>
          </w:p>
        </w:tc>
      </w:tr>
    </w:tbl>
    <w:p>
      <w:r>
        <w:t xml:space="preserve"> </w:t>
      </w:r>
      <w:r>
        <w:rPr>
          <w:rFonts w:hint="eastAsia"/>
          <w:lang w:val="en-US" w:eastAsia="zh-CN"/>
        </w:rPr>
        <w:t>式中</w:t>
      </w:r>
      <m:oMath>
        <m:sSub>
          <m:sSubPr>
            <m:ctrlPr>
              <w:rPr>
                <w:rFonts w:ascii="Cambria Math" w:hAnsi="Cambria Math"/>
                <w:i/>
                <w:lang w:val="en-US"/>
              </w:rPr>
            </m:ctrlPr>
          </m:sSubPr>
          <m:e>
            <m:r>
              <m:rPr/>
              <w:rPr>
                <w:rFonts w:hint="default" w:ascii="Cambria Math" w:hAnsi="Cambria Math"/>
                <w:lang w:val="en-US" w:eastAsia="zh-CN"/>
              </w:rPr>
              <m:t>k</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为第i种商品的货币供应量系数，</w:t>
      </w:r>
      <m:oMath>
        <m:sSub>
          <m:sSubPr>
            <m:ctrlPr>
              <w:rPr>
                <w:rFonts w:ascii="Cambria Math" w:hAnsi="Cambria Math"/>
                <w:i/>
                <w:lang w:val="en-US"/>
              </w:rPr>
            </m:ctrlPr>
          </m:sSubPr>
          <m:e>
            <m:r>
              <m:rPr/>
              <w:rPr>
                <w:rFonts w:hint="default" w:ascii="Cambria Math" w:hAnsi="Cambria Math"/>
                <w:lang w:val="en-US" w:eastAsia="zh-CN"/>
              </w:rPr>
              <m:t>P</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为第i种商品的市场价格，</w:t>
      </w:r>
      <m:oMath>
        <m:sSub>
          <m:sSubPr>
            <m:ctrlPr>
              <w:rPr>
                <w:rFonts w:ascii="Cambria Math" w:hAnsi="Cambria Math"/>
                <w:i/>
                <w:lang w:val="en-US"/>
              </w:rPr>
            </m:ctrlPr>
          </m:sSubPr>
          <m:e>
            <m:r>
              <m:rPr/>
              <w:rPr>
                <w:rFonts w:hint="default" w:ascii="Cambria Math" w:hAnsi="Cambria Math"/>
                <w:lang w:val="en-US" w:eastAsia="zh-CN"/>
              </w:rPr>
              <m:t>Q</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为第i种商品的销售量。</w:t>
      </w:r>
      <w:r>
        <w:t>图4-1为1979年以来中国货币供应量M1增长率，住房价格增长率，CPI增长率对比图。可以看出，居民消费品物价指数上涨率与居民住房价格上涨率表现出比较大的差异性，在消费品物价指数年增长率低于2%的时间里，货币供应量增长率可以保持每年10%以上，这支持异质货币数量方程主张。</w:t>
      </w:r>
    </w:p>
    <w:p>
      <w:r>
        <w:rPr>
          <w:rFonts w:hint="eastAsia" w:asciiTheme="minorEastAsia" w:hAnsiTheme="minorEastAsia" w:eastAsiaTheme="minorEastAsia" w:cstheme="minorEastAsia"/>
          <w:szCs w:val="21"/>
        </w:rPr>
        <w:drawing>
          <wp:inline distT="0" distB="0" distL="0" distR="0">
            <wp:extent cx="5270500" cy="40767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4076700"/>
                    </a:xfrm>
                    <a:prstGeom prst="rect">
                      <a:avLst/>
                    </a:prstGeom>
                    <a:noFill/>
                    <a:ln>
                      <a:noFill/>
                    </a:ln>
                  </pic:spPr>
                </pic:pic>
              </a:graphicData>
            </a:graphic>
          </wp:inline>
        </w:drawing>
      </w:r>
    </w:p>
    <w:p>
      <w:pPr>
        <w:pStyle w:val="5"/>
        <w:ind w:firstLine="360"/>
      </w:pPr>
      <w:r>
        <w:rPr>
          <w:rFonts w:hint="eastAsia"/>
        </w:rPr>
        <w:t>图4-</w:t>
      </w:r>
      <w:r>
        <w:t>1 1979</w:t>
      </w:r>
      <w:r>
        <w:rPr>
          <w:rFonts w:hint="eastAsia"/>
        </w:rPr>
        <w:t>至2</w:t>
      </w:r>
      <w:r>
        <w:t>020</w:t>
      </w:r>
      <w:r>
        <w:rPr>
          <w:rFonts w:hint="eastAsia"/>
        </w:rPr>
        <w:t>年中国货币供应量、居民消费价格指数、住房价格增长率</w:t>
      </w:r>
    </w:p>
    <w:p>
      <w:pPr>
        <w:rPr>
          <w:rFonts w:hint="eastAsia"/>
        </w:rPr>
      </w:pPr>
      <w:r>
        <w:rPr>
          <w:rFonts w:hint="eastAsia"/>
        </w:rPr>
        <w:t>货币供应量增长率是政府投资和政府货币政策的操作空间。消费品物价指数年增长率低于2%的时间里，货币供应量增长率可以保持年10%以上，这意味着政府投资和政府货币政策有比较大的操作空间。</w:t>
      </w:r>
    </w:p>
    <w:p>
      <w:pPr>
        <w:pStyle w:val="4"/>
        <w:numPr>
          <w:ilvl w:val="0"/>
          <w:numId w:val="0"/>
        </w:numPr>
        <w:ind w:leftChars="200"/>
        <w:rPr>
          <w:rFonts w:hint="default"/>
          <w:lang w:val="en-US" w:eastAsia="zh-CN"/>
        </w:rPr>
      </w:pPr>
      <w:r>
        <w:rPr>
          <w:rFonts w:hint="eastAsia"/>
          <w:lang w:val="en-US" w:eastAsia="zh-CN"/>
        </w:rPr>
        <w:t>（四）三条</w:t>
      </w:r>
      <w:r>
        <w:rPr>
          <w:rFonts w:hint="eastAsia"/>
        </w:rPr>
        <w:t>经济变量关系曲线</w:t>
      </w:r>
      <w:r>
        <w:rPr>
          <w:rFonts w:hint="eastAsia"/>
          <w:lang w:val="en-US" w:eastAsia="zh-CN"/>
        </w:rPr>
        <w:t>与社会需求优化</w:t>
      </w:r>
    </w:p>
    <w:p>
      <w:pPr>
        <w:numPr>
          <w:ilvl w:val="0"/>
          <w:numId w:val="0"/>
        </w:numPr>
        <w:ind w:leftChars="200"/>
        <w:rPr>
          <w:rFonts w:hint="default" w:eastAsia="宋体"/>
          <w:lang w:val="en-US" w:eastAsia="zh-CN"/>
        </w:rPr>
      </w:pPr>
      <w:r>
        <w:t xml:space="preserve">1. </w:t>
      </w:r>
      <w:r>
        <w:rPr>
          <w:rFonts w:hint="eastAsia"/>
          <w:lang w:val="en-US" w:eastAsia="zh-CN"/>
        </w:rPr>
        <w:t>三条经济变量关系曲线</w:t>
      </w:r>
    </w:p>
    <w:p>
      <w:r>
        <w:rPr>
          <w:rFonts w:hint="eastAsia"/>
        </w:rPr>
        <w:t>图4-2是分别根据式（4-1</w:t>
      </w:r>
      <w:r>
        <w:t>2</w:t>
      </w:r>
      <w:r>
        <w:rPr>
          <w:rFonts w:hint="eastAsia"/>
        </w:rPr>
        <w:t>），（4-1</w:t>
      </w:r>
      <w:r>
        <w:t>4</w:t>
      </w:r>
      <w:r>
        <w:rPr>
          <w:rFonts w:hint="eastAsia"/>
        </w:rPr>
        <w:t>）和式（4-1</w:t>
      </w:r>
      <w:r>
        <w:t>6</w:t>
      </w:r>
      <w:r>
        <w:rPr>
          <w:rFonts w:hint="eastAsia"/>
        </w:rPr>
        <w:t>）做出的关于名义价格社会产出与货币供应量增长率、不变价格社会产出与货币供应量增长率和通货膨胀率与货币供应量增长率关系曲线示意图。</w:t>
      </w:r>
    </w:p>
    <w:p>
      <w:pPr>
        <w:jc w:val="center"/>
      </w:pPr>
      <w:r>
        <w:drawing>
          <wp:inline distT="0" distB="0" distL="0" distR="0">
            <wp:extent cx="3364865" cy="2469515"/>
            <wp:effectExtent l="0" t="0" r="698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pStyle w:val="5"/>
        <w:ind w:firstLine="360"/>
      </w:pPr>
      <w:r>
        <w:rPr>
          <w:rFonts w:hint="eastAsia"/>
        </w:rPr>
        <w:t>图4-</w:t>
      </w:r>
      <w:r>
        <w:t xml:space="preserve">2 </w:t>
      </w:r>
      <w:r>
        <w:rPr>
          <w:rFonts w:hint="eastAsia"/>
        </w:rPr>
        <w:t>名义价格</w:t>
      </w:r>
      <w:r>
        <w:rPr>
          <w:rFonts w:hint="eastAsia"/>
          <w:lang w:val="en-US" w:eastAsia="zh-CN"/>
        </w:rPr>
        <w:t>产出</w:t>
      </w:r>
      <w:r>
        <w:rPr>
          <w:rFonts w:hint="eastAsia"/>
        </w:rPr>
        <w:t>、不变价格产出、通货膨胀率与货币供应量增长</w:t>
      </w:r>
      <w:r>
        <w:rPr>
          <w:rFonts w:hint="eastAsia"/>
          <w:lang w:val="en-US" w:eastAsia="zh-CN"/>
        </w:rPr>
        <w:t>率</w:t>
      </w:r>
      <w:r>
        <w:rPr>
          <w:rFonts w:hint="eastAsia" w:hAnsi="Cambria Math"/>
          <w:bCs/>
          <w:i w:val="0"/>
          <w:szCs w:val="21"/>
          <w:lang w:val="en-US" w:eastAsia="zh-CN"/>
        </w:rPr>
        <w:t>的</w:t>
      </w:r>
      <w:r>
        <w:rPr>
          <w:rFonts w:hint="eastAsia"/>
        </w:rPr>
        <w:t>关系曲线示意图</w:t>
      </w:r>
    </w:p>
    <w:p>
      <w:pPr>
        <w:rPr>
          <w:rFonts w:hint="default" w:eastAsia="宋体"/>
          <w:lang w:val="en-US" w:eastAsia="zh-CN"/>
        </w:rPr>
      </w:pPr>
      <w:r>
        <w:rPr>
          <w:rFonts w:hint="eastAsia"/>
          <w:lang w:val="en-US" w:eastAsia="zh-CN"/>
        </w:rPr>
        <w:t>图4-2</w:t>
      </w:r>
      <w:r>
        <w:rPr>
          <w:rFonts w:hint="eastAsia"/>
        </w:rPr>
        <w:t>三条曲线不是根据现实经济数据拟合而出</w:t>
      </w:r>
      <w:r>
        <w:rPr>
          <w:rFonts w:hint="eastAsia"/>
          <w:lang w:eastAsia="zh-CN"/>
        </w:rPr>
        <w:t>，</w:t>
      </w:r>
      <w:r>
        <w:rPr>
          <w:rFonts w:hint="eastAsia"/>
          <w:lang w:val="en-US" w:eastAsia="zh-CN"/>
        </w:rPr>
        <w:t>而是如</w:t>
      </w:r>
      <w:r>
        <w:t>希克斯</w:t>
      </w:r>
      <w:r>
        <w:rPr>
          <w:rFonts w:hint="eastAsia"/>
          <w:lang w:val="en-US" w:eastAsia="zh-CN"/>
        </w:rPr>
        <w:t>根据对市场经济的观察</w:t>
      </w:r>
      <w:r>
        <w:t>认为IS-LM曲线有</w:t>
      </w:r>
      <w:r>
        <w:rPr>
          <w:rFonts w:hint="eastAsia"/>
          <w:lang w:eastAsia="zh-CN"/>
        </w:rPr>
        <w:t>他</w:t>
      </w:r>
      <w:r>
        <w:rPr>
          <w:rFonts w:hint="eastAsia"/>
          <w:lang w:val="en-US" w:eastAsia="zh-CN"/>
        </w:rPr>
        <w:t>所认为的</w:t>
      </w:r>
      <w:r>
        <w:t>特性那样，本文</w:t>
      </w:r>
      <w:r>
        <w:rPr>
          <w:rFonts w:hint="eastAsia"/>
          <w:lang w:val="en-US" w:eastAsia="zh-CN"/>
        </w:rPr>
        <w:t>根据前文第三节关于市场经济的三个基本规律假设和对市场经济的观察</w:t>
      </w:r>
      <w:r>
        <w:t>认为上述三条曲线有如</w:t>
      </w:r>
      <w:r>
        <w:rPr>
          <w:rFonts w:hint="eastAsia"/>
          <w:lang w:val="en-US" w:eastAsia="zh-CN"/>
        </w:rPr>
        <w:t>图4-2所示的</w:t>
      </w:r>
      <w:r>
        <w:t>特性。</w:t>
      </w:r>
      <w:r>
        <w:rPr>
          <w:rFonts w:hint="eastAsia"/>
          <w:lang w:val="en-US" w:eastAsia="zh-CN"/>
        </w:rPr>
        <w:t>新古典学派索洛模型资本积累对人口的比例r与时间的关系曲线也是按这种办法做出。</w:t>
      </w:r>
    </w:p>
    <w:p>
      <w:pPr>
        <w:pStyle w:val="31"/>
        <w:numPr>
          <w:ilvl w:val="0"/>
          <w:numId w:val="0"/>
        </w:numPr>
        <w:ind w:firstLine="420" w:firstLineChars="200"/>
      </w:pPr>
      <w:r>
        <w:t>（1）单位时间不变价格社会产出与货币供应量增长率曲线</w:t>
      </w:r>
    </w:p>
    <w:p>
      <w:r>
        <w:t>该曲线的趋势是政府投资和货币政策带来的名义价格社会需求越大，由此带来的货币供应量增长率越高，单位时间不变价格社会产出越高。但该曲线存在一个上限a，不管政府投资和货币政策带来的名义价格社会需求有多大，因此带来的货币供应量增长率有多高，单位时间不变价格社会产出都不会超过a，即</w:t>
      </w:r>
      <m:oMath>
        <m:sSup>
          <m:sSupPr>
            <m:ctrlPr>
              <w:rPr>
                <w:rFonts w:ascii="Cambria Math" w:hAnsi="Cambria Math"/>
                <w:i/>
                <w:szCs w:val="21"/>
              </w:rPr>
            </m:ctrlPr>
          </m:sSupPr>
          <m:e>
            <m:r>
              <m:rPr/>
              <w:rPr>
                <w:rFonts w:ascii="Cambria Math" w:hAnsi="Cambria Math"/>
                <w:szCs w:val="21"/>
              </w:rPr>
              <m:t>y</m:t>
            </m:r>
            <m:ctrlPr>
              <w:rPr>
                <w:rFonts w:ascii="Cambria Math" w:hAnsi="Cambria Math"/>
                <w:i/>
                <w:szCs w:val="21"/>
              </w:rPr>
            </m:ctrlPr>
          </m:e>
          <m:sup>
            <m:r>
              <m:rPr/>
              <w:rPr>
                <w:rFonts w:ascii="Cambria Math" w:hAnsi="Cambria Math"/>
                <w:szCs w:val="21"/>
              </w:rPr>
              <m:t>'</m:t>
            </m:r>
            <m:ctrlPr>
              <w:rPr>
                <w:rFonts w:ascii="Cambria Math" w:hAnsi="Cambria Math"/>
                <w:i/>
                <w:szCs w:val="21"/>
              </w:rPr>
            </m:ctrlPr>
          </m:sup>
        </m:sSup>
      </m:oMath>
      <w:r>
        <w:rPr>
          <w:szCs w:val="21"/>
        </w:rPr>
        <w:t>&lt;a</w:t>
      </w:r>
      <w:r>
        <w:t>。</w:t>
      </w:r>
    </w:p>
    <w:p>
      <w:r>
        <w:t>a值为经济体特定时刻最大单位时间不变价格社会产出，是该时刻由式（4-10）表述的经济体禀赋。</w:t>
      </w:r>
    </w:p>
    <w:p>
      <w:pPr>
        <w:pStyle w:val="31"/>
        <w:numPr>
          <w:ilvl w:val="0"/>
          <w:numId w:val="0"/>
        </w:numPr>
        <w:ind w:firstLine="210" w:firstLineChars="100"/>
      </w:pPr>
      <w:r>
        <w:t>（</w:t>
      </w:r>
      <w:r>
        <w:rPr>
          <w:rFonts w:hint="eastAsia"/>
          <w:lang w:val="en-US" w:eastAsia="zh-CN"/>
        </w:rPr>
        <w:t>2</w:t>
      </w:r>
      <w:r>
        <w:t>）通货膨胀率与货币供应量增长率关系曲线</w:t>
      </w:r>
    </w:p>
    <w:p>
      <w:r>
        <w:t>该曲线的趋势是政府投资和货币政策带来的名义价格社会需求越大，货币供应量增长率越高，通货膨胀率越高。通货膨胀率存在一个阈值b，当通货膨胀率小于阈值b时，政府投资和货币政策带来的社会需求增加将主要带来劳动力和资本积累利用率的增加，带来不变价格社会产出增加。当通货膨胀率大于阈值b时，劳动力和社会资本积累已被比较充分利用，政府投资和货币政策带来的名义价格社会需求增加将主要不再增加劳动力和资本积累的利用率，而是主要带来通货膨胀。通货膨胀带来经济不稳定，通货膨胀率越高，经济越不稳定。</w:t>
      </w:r>
    </w:p>
    <w:p>
      <w:r>
        <w:t>通货膨胀率阈值对应的货币供应量增长率为c值，c为触发通货膨胀的货币供应量增长率临界点。</w:t>
      </w:r>
    </w:p>
    <w:p>
      <w:pPr>
        <w:pStyle w:val="31"/>
        <w:numPr>
          <w:ilvl w:val="0"/>
          <w:numId w:val="0"/>
        </w:numPr>
        <w:ind w:left="420" w:leftChars="0"/>
      </w:pPr>
      <w:r>
        <w:t>（</w:t>
      </w:r>
      <w:r>
        <w:rPr>
          <w:rFonts w:hint="eastAsia"/>
          <w:lang w:val="en-US" w:eastAsia="zh-CN"/>
        </w:rPr>
        <w:t>3</w:t>
      </w:r>
      <w:r>
        <w:t>）单位时间名义价格社会产出与货币供应量增长率曲线</w:t>
      </w:r>
    </w:p>
    <w:p>
      <w:r>
        <w:t>该曲线的趋势是政府投资和货币政策带来的名义价格社会需求越大，名义价格社会产出越大。当政府投资和货币政策带来的货币供应量增长率高于c值时，名义价格社会产出将含通货膨胀虚增部分，货币供应量增长率越高，通货膨胀率越高，虚增部分越大。</w:t>
      </w:r>
    </w:p>
    <w:p>
      <w:r>
        <w:t>b值可作为政府控制通货膨胀的政策目标，保证政府投资和货币政策带来的名义价格社会需求增加引发的通货膨胀率不超过b值。</w:t>
      </w:r>
    </w:p>
    <w:p>
      <w:pPr>
        <w:pStyle w:val="4"/>
        <w:numPr>
          <w:ilvl w:val="0"/>
          <w:numId w:val="0"/>
        </w:numPr>
        <w:ind w:firstLine="420" w:firstLineChars="200"/>
        <w:rPr>
          <w:rFonts w:hint="eastAsia"/>
          <w:lang w:val="en-US" w:eastAsia="zh-CN"/>
        </w:rPr>
      </w:pPr>
      <w:r>
        <w:t xml:space="preserve">2. </w:t>
      </w:r>
      <w:r>
        <w:rPr>
          <w:rFonts w:hint="eastAsia"/>
          <w:lang w:val="en-US" w:eastAsia="zh-CN"/>
        </w:rPr>
        <w:t>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）的优化</w:t>
      </w:r>
    </w:p>
    <w:p>
      <w:pPr>
        <w:rPr>
          <w:rFonts w:hint="eastAsia"/>
          <w:lang w:val="en-US" w:eastAsia="zh-CN"/>
        </w:rPr>
      </w:pPr>
      <w:r>
        <w:rPr>
          <w:rFonts w:hint="eastAsia"/>
          <w:lang w:val="en-US" w:eastAsia="zh-CN"/>
        </w:rPr>
        <w:t>虽然图4-2三条经济变量关系曲线的自变量为货币供应量增长率，实际上决定货币供应量增长率的是政府政策影响的社会需求（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），但社会需求不是单一变量而是多变量，这就产生了社会需求</w:t>
      </w:r>
      <w:r>
        <w:rPr>
          <w:rFonts w:hint="default"/>
          <w:lang w:eastAsia="zh-CN"/>
        </w:rPr>
        <w:t>的</w:t>
      </w:r>
      <w:r>
        <w:rPr>
          <w:rFonts w:hint="eastAsia"/>
          <w:lang w:val="en-US" w:eastAsia="zh-CN"/>
        </w:rPr>
        <w:t>优化问题。</w:t>
      </w:r>
    </w:p>
    <w:p>
      <w:pPr>
        <w:rPr>
          <w:rFonts w:hint="eastAsia"/>
          <w:lang w:val="en-US" w:eastAsia="zh-CN"/>
        </w:rPr>
      </w:pPr>
      <w:r>
        <w:rPr>
          <w:rFonts w:hint="default"/>
          <w:lang w:eastAsia="zh-CN"/>
        </w:rPr>
        <w:t>关于</w:t>
      </w:r>
      <w:r>
        <w:rPr>
          <w:rFonts w:hint="eastAsia"/>
          <w:lang w:val="en-US" w:eastAsia="zh-CN"/>
        </w:rPr>
        <w:t>私人部门投资和消费（</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rFonts w:hint="eastAsia"/>
          <w:lang w:val="en-US" w:eastAsia="zh-CN"/>
        </w:rPr>
        <w:t>）与政府投资和支出（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）之间的优化</w:t>
      </w:r>
      <w:r>
        <w:rPr>
          <w:rFonts w:hint="default"/>
          <w:lang w:eastAsia="zh-CN"/>
        </w:rPr>
        <w:t>，</w:t>
      </w:r>
      <w:r>
        <w:rPr>
          <w:rFonts w:hint="eastAsia"/>
          <w:lang w:val="en-US" w:eastAsia="zh-CN"/>
        </w:rPr>
        <w:t>这通过政府货币政策（利率</w:t>
      </w:r>
      <w:r>
        <w:rPr>
          <w:rFonts w:hint="eastAsia" w:ascii="微软雅黑" w:hAnsi="微软雅黑" w:eastAsia="微软雅黑" w:cs="微软雅黑"/>
          <w:lang w:val="en-US" w:eastAsia="zh-CN"/>
        </w:rPr>
        <w:t>、</w:t>
      </w:r>
      <w:r>
        <w:rPr>
          <w:rFonts w:hint="eastAsia"/>
          <w:lang w:val="en-US" w:eastAsia="zh-CN"/>
        </w:rPr>
        <w:t>贷款资格审查和贷款规模控制）来完成。当通货膨胀率高于政策目标b值时，政府除了直接减少投资和支出（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）还可以通过货币政策提高利率抑制私人部门需求以使通货膨胀率回到政策目标b值以下。当通货膨胀率低于政策目标b值时，政府除直接增加投资和支出外还可以通过货币政策降低利率刺激私人部门需求以</w:t>
      </w:r>
      <w:r>
        <w:rPr>
          <w:rFonts w:hint="default"/>
          <w:lang w:eastAsia="zh-CN"/>
        </w:rPr>
        <w:t>改善民众生活</w:t>
      </w:r>
      <w:r>
        <w:rPr>
          <w:rFonts w:hint="eastAsia" w:ascii="微软雅黑" w:hAnsi="微软雅黑" w:eastAsia="微软雅黑" w:cs="微软雅黑"/>
          <w:lang w:val="en-US" w:eastAsia="zh-CN"/>
        </w:rPr>
        <w:t>、</w:t>
      </w:r>
      <w:r>
        <w:rPr>
          <w:rFonts w:hint="eastAsia"/>
          <w:lang w:val="en-US" w:eastAsia="zh-CN"/>
        </w:rPr>
        <w:t>提高经济体禀赋，但保证通货膨胀率不突破政策目标b值上限。当货币政策利率接近零而通货膨胀率仍在政策目标b值以下时，政府</w:t>
      </w:r>
      <w:r>
        <w:rPr>
          <w:rFonts w:hint="default"/>
          <w:lang w:eastAsia="zh-CN"/>
        </w:rPr>
        <w:t>可以仅</w:t>
      </w:r>
      <w:r>
        <w:rPr>
          <w:rFonts w:hint="eastAsia"/>
          <w:lang w:val="en-US" w:eastAsia="zh-CN"/>
        </w:rPr>
        <w:t>靠增加政府投资和支出增加社会需求以</w:t>
      </w:r>
      <w:r>
        <w:rPr>
          <w:rFonts w:hint="default"/>
          <w:lang w:eastAsia="zh-CN"/>
        </w:rPr>
        <w:t>改善民众生活</w:t>
      </w:r>
      <w:r>
        <w:rPr>
          <w:rFonts w:hint="eastAsia" w:ascii="微软雅黑" w:hAnsi="微软雅黑" w:eastAsia="微软雅黑" w:cs="微软雅黑"/>
          <w:lang w:val="en-US" w:eastAsia="zh-CN"/>
        </w:rPr>
        <w:t>、</w:t>
      </w:r>
      <w:r>
        <w:rPr>
          <w:rFonts w:hint="eastAsia"/>
          <w:lang w:val="en-US" w:eastAsia="zh-CN"/>
        </w:rPr>
        <w:t>提高经济体禀赋。</w:t>
      </w:r>
    </w:p>
    <w:p>
      <w:r>
        <w:rPr>
          <w:rFonts w:hint="default"/>
          <w:lang w:eastAsia="zh-CN"/>
        </w:rPr>
        <w:t>关于</w:t>
      </w:r>
      <w:r>
        <w:rPr>
          <w:rFonts w:hint="eastAsia"/>
          <w:lang w:val="en-US" w:eastAsia="zh-CN"/>
        </w:rPr>
        <w:t>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）具体项目之间的优化</w:t>
      </w:r>
      <w:r>
        <w:rPr>
          <w:rFonts w:hint="default"/>
          <w:lang w:eastAsia="zh-CN"/>
        </w:rPr>
        <w:t>，本文主张政府依自身的价值主张对投资和支出项目综合排序。</w:t>
      </w:r>
      <w:r>
        <w:rPr>
          <w:rFonts w:hint="eastAsia"/>
          <w:lang w:bidi="ar"/>
        </w:rPr>
        <w:t>萨缪尔</w:t>
      </w:r>
      <w:r>
        <w:rPr>
          <w:lang w:bidi="ar"/>
        </w:rPr>
        <w:t>森</w:t>
      </w:r>
      <w:r>
        <w:rPr>
          <w:rFonts w:hint="eastAsia"/>
          <w:lang w:eastAsia="zh-CN" w:bidi="ar"/>
        </w:rPr>
        <w:t>（</w:t>
      </w:r>
      <w:r>
        <w:rPr>
          <w:rFonts w:hint="eastAsia"/>
          <w:lang w:val="en-US" w:eastAsia="zh-CN" w:bidi="ar"/>
        </w:rPr>
        <w:t>2010</w:t>
      </w:r>
      <w:r>
        <w:rPr>
          <w:rFonts w:hint="eastAsia"/>
          <w:lang w:eastAsia="zh-CN" w:bidi="ar"/>
        </w:rPr>
        <w:t>）</w:t>
      </w:r>
      <w:r>
        <w:rPr>
          <w:rFonts w:hint="eastAsia"/>
          <w:lang w:val="en-US" w:eastAsia="zh-CN" w:bidi="ar"/>
        </w:rPr>
        <w:t>认为</w:t>
      </w:r>
      <w:r>
        <w:rPr>
          <w:lang w:bidi="ar"/>
        </w:rPr>
        <w:t>消费品</w:t>
      </w:r>
      <w:r>
        <w:rPr>
          <w:rFonts w:hint="eastAsia"/>
          <w:lang w:bidi="ar"/>
        </w:rPr>
        <w:t>效用是一种满意度，反映消费者对商品和服务的排序</w:t>
      </w:r>
      <w:r>
        <w:rPr>
          <w:rFonts w:hint="eastAsia"/>
          <w:lang w:eastAsia="zh-CN" w:bidi="ar"/>
        </w:rPr>
        <w:t>。</w:t>
      </w:r>
      <w:r>
        <w:rPr>
          <w:rFonts w:hint="eastAsia"/>
          <w:lang w:val="en-US" w:eastAsia="zh-CN" w:bidi="ar"/>
        </w:rPr>
        <w:t>借鉴</w:t>
      </w:r>
      <w:r>
        <w:rPr>
          <w:rFonts w:hint="eastAsia"/>
          <w:lang w:bidi="ar"/>
        </w:rPr>
        <w:t>萨缪尔</w:t>
      </w:r>
      <w:r>
        <w:rPr>
          <w:lang w:bidi="ar"/>
        </w:rPr>
        <w:t>森</w:t>
      </w:r>
      <w:r>
        <w:rPr>
          <w:rFonts w:hint="eastAsia"/>
          <w:lang w:val="en-US" w:eastAsia="zh-CN" w:bidi="ar"/>
        </w:rPr>
        <w:t>关于</w:t>
      </w:r>
      <w:r>
        <w:rPr>
          <w:lang w:bidi="ar"/>
        </w:rPr>
        <w:t>消费品</w:t>
      </w:r>
      <w:r>
        <w:rPr>
          <w:rFonts w:hint="eastAsia"/>
          <w:lang w:bidi="ar"/>
        </w:rPr>
        <w:t>效用</w:t>
      </w:r>
      <w:r>
        <w:rPr>
          <w:rFonts w:hint="eastAsia"/>
          <w:lang w:val="en-US" w:eastAsia="zh-CN" w:bidi="ar"/>
        </w:rPr>
        <w:t>的定义，本文认为政府对其</w:t>
      </w:r>
      <w:r>
        <w:rPr>
          <w:rFonts w:hint="eastAsia"/>
          <w:lang w:val="en-US" w:eastAsia="zh-CN"/>
        </w:rPr>
        <w:t>投资和支出</w:t>
      </w:r>
      <w:r>
        <w:rPr>
          <w:rFonts w:hint="default"/>
          <w:lang w:eastAsia="zh-CN"/>
        </w:rPr>
        <w:t>的具体项目的排序应该体现</w:t>
      </w:r>
      <w:r>
        <w:rPr>
          <w:rFonts w:hint="eastAsia"/>
          <w:lang w:val="en-US" w:eastAsia="zh-CN"/>
        </w:rPr>
        <w:t>自身的价值主张，</w:t>
      </w:r>
      <w:r>
        <w:t>比如如果政府更</w:t>
      </w:r>
      <w:r>
        <w:rPr>
          <w:rFonts w:hint="eastAsia"/>
          <w:lang w:val="en-US" w:eastAsia="zh-CN"/>
        </w:rPr>
        <w:t>侧重</w:t>
      </w:r>
      <w:r>
        <w:rPr>
          <w:rFonts w:hint="default"/>
          <w:lang w:eastAsia="zh-CN"/>
        </w:rPr>
        <w:t>照顾</w:t>
      </w:r>
      <w:r>
        <w:t>落后地区和低收入人群</w:t>
      </w:r>
      <w:r>
        <w:rPr>
          <w:rFonts w:hint="eastAsia"/>
          <w:lang w:val="en-US" w:eastAsia="zh-CN"/>
        </w:rPr>
        <w:t>时就</w:t>
      </w:r>
      <w:r>
        <w:rPr>
          <w:rFonts w:hint="default"/>
          <w:lang w:eastAsia="zh-CN"/>
        </w:rPr>
        <w:t>可以</w:t>
      </w:r>
      <w:r>
        <w:rPr>
          <w:rFonts w:hint="eastAsia"/>
          <w:lang w:val="en-US" w:eastAsia="zh-CN"/>
        </w:rPr>
        <w:t>把</w:t>
      </w:r>
      <w:r>
        <w:rPr>
          <w:rFonts w:hint="default"/>
          <w:lang w:eastAsia="zh-CN"/>
        </w:rPr>
        <w:t>支持</w:t>
      </w:r>
      <w:r>
        <w:t>落后地区和低收入人群的项目放在</w:t>
      </w:r>
      <w:r>
        <w:rPr>
          <w:rFonts w:hint="eastAsia"/>
          <w:lang w:val="en-US" w:eastAsia="zh-CN"/>
        </w:rPr>
        <w:t>优先位置</w:t>
      </w:r>
      <w:r>
        <w:t>。</w:t>
      </w:r>
    </w:p>
    <w:p>
      <w:pPr>
        <w:pStyle w:val="4"/>
        <w:numPr>
          <w:ilvl w:val="0"/>
          <w:numId w:val="0"/>
        </w:numPr>
        <w:ind w:firstLine="420" w:firstLineChars="200"/>
        <w:rPr>
          <w:rFonts w:hint="default"/>
          <w:lang w:val="en-US" w:eastAsia="zh-CN"/>
        </w:rPr>
      </w:pPr>
      <w:r>
        <w:rPr>
          <w:rFonts w:hint="eastAsia"/>
          <w:lang w:val="en-US" w:eastAsia="zh-CN"/>
        </w:rPr>
        <w:t>总之，</w:t>
      </w:r>
      <w:r>
        <w:rPr>
          <w:rFonts w:hint="default"/>
          <w:lang w:eastAsia="zh-CN"/>
        </w:rPr>
        <w:t>私人部门投资和消费</w:t>
      </w:r>
      <w:r>
        <w:rPr>
          <w:rFonts w:hint="eastAsia" w:ascii="微软雅黑" w:hAnsi="微软雅黑" w:eastAsia="微软雅黑" w:cs="微软雅黑"/>
          <w:lang w:val="en-US" w:eastAsia="zh-CN"/>
        </w:rPr>
        <w:t>、</w:t>
      </w:r>
      <w:r>
        <w:rPr>
          <w:rFonts w:hint="eastAsia"/>
          <w:lang w:val="en-US" w:eastAsia="zh-CN"/>
        </w:rPr>
        <w:t>政府投资及支出</w:t>
      </w:r>
      <w:r>
        <w:rPr>
          <w:rFonts w:hint="default"/>
          <w:lang w:eastAsia="zh-CN"/>
        </w:rPr>
        <w:t>之间</w:t>
      </w:r>
      <w:r>
        <w:rPr>
          <w:rFonts w:hint="eastAsia"/>
          <w:lang w:val="en-US" w:eastAsia="zh-CN"/>
        </w:rPr>
        <w:t>的优化</w:t>
      </w:r>
      <w:r>
        <w:rPr>
          <w:rFonts w:hint="default"/>
          <w:lang w:eastAsia="zh-CN"/>
        </w:rPr>
        <w:t>问题</w:t>
      </w:r>
      <w:r>
        <w:rPr>
          <w:rFonts w:hint="eastAsia"/>
          <w:lang w:val="en-US" w:eastAsia="zh-CN"/>
        </w:rPr>
        <w:t>是一个</w:t>
      </w:r>
      <w:r>
        <w:rPr>
          <w:rFonts w:hint="default"/>
          <w:lang w:eastAsia="zh-CN"/>
        </w:rPr>
        <w:t>带一定主观色彩很复杂很综合的问题</w:t>
      </w:r>
      <w:r>
        <w:rPr>
          <w:rFonts w:hint="eastAsia"/>
          <w:lang w:val="en-US" w:eastAsia="zh-CN"/>
        </w:rPr>
        <w:t>，不存在客观的唯一解。</w:t>
      </w:r>
      <w:r>
        <w:t>借鉴弗里德曼对演绎经济学与实证经济学的态度，</w:t>
      </w:r>
      <w:r>
        <w:rPr>
          <w:rFonts w:hint="eastAsia"/>
          <w:lang w:val="en-US" w:eastAsia="zh-CN"/>
        </w:rPr>
        <w:t>本文主张</w:t>
      </w:r>
      <w:r>
        <w:t>用主观和直觉确定这一优化问题，具体包括如下三点：第一，综合评估政府投资和支出项目的经济效益与社会效率，效率与公平兼顾；第二，能直接实现盈利的项目由私人部门投资，让市场竞争选出最优秀的经营主体；第三，私人部门投资和政府投资不一定有明确的界限，应保证各种体制经济主体公平竞争。</w:t>
      </w:r>
    </w:p>
    <w:p>
      <w:pPr>
        <w:pStyle w:val="4"/>
        <w:ind w:firstLine="420"/>
      </w:pPr>
      <w:r>
        <w:t>（</w:t>
      </w:r>
      <w:r>
        <w:rPr>
          <w:rFonts w:hint="eastAsia"/>
          <w:lang w:val="en-US" w:eastAsia="zh-CN"/>
        </w:rPr>
        <w:t>五</w:t>
      </w:r>
      <w:r>
        <w:t>）封闭模型放松为含国际贸易但管理私人资本跨境流动</w:t>
      </w:r>
    </w:p>
    <w:p>
      <w:r>
        <w:t>1. 模型描述</w:t>
      </w:r>
    </w:p>
    <w:p>
      <w:r>
        <w:t>这里把前文封闭模型放松为含以国家为主体的与其它经济体的国际贸易，但同时增加政府管理私人部门资本跨境流动、对外投资和融资。</w:t>
      </w:r>
    </w:p>
    <w:p>
      <w:r>
        <w:t>本文定义国与国之间的自由国际贸易指没有任何第三方强制和限制，双方完全自愿的国与国之间的贸易。国与国之间的贸易协议不是强制或限制，是自愿。本文的自由国际贸易满足本文第三节基本规律假设一“在没有任何第三方强制或限制的自由市场经济体系里，被交换次数为有限的非投资品商品交换存在使交易主体资产效用增加的帕累托优化竞争性均衡。”的条件，因此上述自由国际贸易存在帕累托优化竞争性均衡。</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m:sty m:val="p"/>
                  </m:rPr>
                  <w:rPr>
                    <w:rFonts w:ascii="Cambria Math" w:hAnsi="Cambria Math"/>
                    <w:szCs w:val="21"/>
                  </w:rPr>
                  <m:t>Γ=</m:t>
                </m:r>
                <m:d>
                  <m:dPr>
                    <m:begChr m:val="⟦"/>
                    <m:endChr m:val="⟧"/>
                    <m:ctrlPr>
                      <w:rPr>
                        <w:rFonts w:ascii="Cambria Math" w:hAnsi="Cambria Math"/>
                        <w:szCs w:val="21"/>
                      </w:rPr>
                    </m:ctrlPr>
                  </m:dPr>
                  <m:e>
                    <m:r>
                      <m:rPr>
                        <m:sty m:val="p"/>
                      </m:rPr>
                      <w:rPr>
                        <w:rFonts w:ascii="Cambria Math" w:hAnsi="Cambria Math"/>
                        <w:szCs w:val="21"/>
                      </w:rPr>
                      <m:t>Ν，</m:t>
                    </m:r>
                    <m:sSub>
                      <m:sSubPr>
                        <m:ctrlPr>
                          <w:rPr>
                            <w:rFonts w:ascii="Cambria Math" w:hAnsi="Cambria Math"/>
                            <w:szCs w:val="21"/>
                          </w:rPr>
                        </m:ctrlPr>
                      </m:sSubPr>
                      <m:e>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Χ</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sSub>
                      <m:sSubPr>
                        <m:ctrlPr>
                          <w:rPr>
                            <w:rFonts w:ascii="Cambria Math" w:hAnsi="Cambria Math"/>
                            <w:szCs w:val="21"/>
                          </w:rPr>
                        </m:ctrlPr>
                      </m:sSubPr>
                      <m:e>
                        <m:r>
                          <m:rPr>
                            <m:sty m:val="p"/>
                          </m:rPr>
                          <w:rPr>
                            <w:rFonts w:ascii="Cambria Math" w:hAnsi="Cambria Math"/>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f</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d>
                              <m:dPr>
                                <m:ctrlPr>
                                  <w:rPr>
                                    <w:rFonts w:ascii="Cambria Math" w:hAnsi="Cambria Math"/>
                                    <w:szCs w:val="21"/>
                                  </w:rPr>
                                </m:ctrlPr>
                              </m:dPr>
                              <m:e>
                                <m:r>
                                  <m:rPr>
                                    <m:sty m:val="p"/>
                                  </m:rPr>
                                  <w:rPr>
                                    <w:rFonts w:ascii="Cambria Math" w:hAnsi="Cambria Math"/>
                                    <w:szCs w:val="21"/>
                                  </w:rPr>
                                  <m:t>x</m:t>
                                </m:r>
                                <m:ctrlPr>
                                  <w:rPr>
                                    <w:rFonts w:ascii="Cambria Math" w:hAnsi="Cambria Math"/>
                                    <w:szCs w:val="21"/>
                                  </w:rPr>
                                </m:ctrlPr>
                              </m:e>
                            </m:d>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ctrlPr>
                      <w:rPr>
                        <w:rFonts w:ascii="Cambria Math" w:hAnsi="Cambria Math"/>
                        <w:szCs w:val="21"/>
                      </w:rPr>
                    </m:ctrlPr>
                  </m:e>
                </m:d>
              </m:oMath>
            </m:oMathPara>
          </w:p>
        </w:tc>
        <w:tc>
          <w:tcPr>
            <w:tcW w:w="930" w:type="dxa"/>
            <w:vAlign w:val="center"/>
          </w:tcPr>
          <w:p>
            <w:pPr>
              <w:ind w:firstLine="0" w:firstLineChars="0"/>
              <w:jc w:val="right"/>
            </w:pPr>
            <w:r>
              <w:t>(4-18)</w:t>
            </w:r>
          </w:p>
        </w:tc>
      </w:tr>
    </w:tbl>
    <w:p>
      <w:pPr>
        <w:widowControl/>
        <w:jc w:val="left"/>
        <w:rPr>
          <w:szCs w:val="21"/>
        </w:rPr>
      </w:pPr>
      <w:r>
        <w:rPr>
          <w:szCs w:val="21"/>
        </w:rPr>
        <w:t>式中</w:t>
      </w:r>
      <m:oMath>
        <m:r>
          <m:rPr>
            <m:sty m:val="p"/>
          </m:rPr>
          <w:rPr>
            <w:rFonts w:ascii="Cambria Math" w:hAnsi="Cambria Math"/>
            <w:szCs w:val="21"/>
          </w:rPr>
          <m:t>N</m:t>
        </m:r>
      </m:oMath>
      <w:r>
        <w:rPr>
          <w:szCs w:val="21"/>
        </w:rPr>
        <w:t>=</w:t>
      </w:r>
      <m:oMath>
        <m:d>
          <m:dPr>
            <m:begChr m:val="{"/>
            <m:endChr m:val="}"/>
            <m:ctrlPr>
              <w:rPr>
                <w:rFonts w:ascii="Cambria Math" w:hAnsi="Cambria Math"/>
                <w:i/>
                <w:szCs w:val="21"/>
              </w:rPr>
            </m:ctrlPr>
          </m:dPr>
          <m:e>
            <m:r>
              <m:rPr/>
              <w:rPr>
                <w:rFonts w:ascii="Cambria Math" w:hAnsi="Cambria Math"/>
                <w:szCs w:val="21"/>
              </w:rPr>
              <m:t>1,...,N</m:t>
            </m:r>
            <m:ctrlPr>
              <w:rPr>
                <w:rFonts w:ascii="Cambria Math" w:hAnsi="Cambria Math"/>
                <w:i/>
                <w:szCs w:val="21"/>
              </w:rPr>
            </m:ctrlPr>
          </m:e>
        </m:d>
      </m:oMath>
      <w:r>
        <w:rPr>
          <w:szCs w:val="21"/>
        </w:rPr>
        <w:t>为参与国际贸易的国家主体数，</w:t>
      </w:r>
      <m:oMath>
        <m:r>
          <m:rPr>
            <m:sty m:val="p"/>
          </m:rPr>
          <w:rPr>
            <w:rFonts w:ascii="Cambria Math" w:hAnsi="Cambria Math"/>
            <w:szCs w:val="21"/>
          </w:rPr>
          <m:t>N</m:t>
        </m:r>
      </m:oMath>
      <w:r>
        <w:rPr>
          <w:szCs w:val="21"/>
        </w:rPr>
        <w:t>为有限值；i为国家主体的序号；</w:t>
      </w:r>
      <m:oMath>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ni</m:t>
            </m:r>
            <m:ctrlPr>
              <w:rPr>
                <w:rFonts w:ascii="Cambria Math" w:hAnsi="Cambria Math"/>
                <w:szCs w:val="21"/>
              </w:rPr>
            </m:ctrlPr>
          </m:sup>
        </m:sSup>
      </m:oMath>
      <w:r>
        <w:rPr>
          <w:szCs w:val="21"/>
        </w:rPr>
        <w:t>为第</w:t>
      </w:r>
      <m:oMath>
        <m:r>
          <m:rPr>
            <m:sty m:val="p"/>
          </m:rPr>
          <w:rPr>
            <w:rFonts w:ascii="Cambria Math" w:hAnsi="Cambria Math"/>
            <w:szCs w:val="21"/>
          </w:rPr>
          <m:t>i</m:t>
        </m:r>
      </m:oMath>
      <w:r>
        <w:rPr>
          <w:szCs w:val="21"/>
        </w:rPr>
        <w:t>个国家主体与其它国家主体的国际贸易集合；</w:t>
      </w:r>
      <m:oMath>
        <m:r>
          <m:rPr>
            <m:sty m:val="p"/>
          </m:rPr>
          <w:rPr>
            <w:rFonts w:ascii="Cambria Math" w:hAnsi="Cambria Math"/>
            <w:szCs w:val="21"/>
          </w:rPr>
          <m:t>x=(</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1</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N</m:t>
            </m:r>
            <m:ctrlPr>
              <w:rPr>
                <w:rFonts w:ascii="Cambria Math" w:hAnsi="Cambria Math"/>
                <w:szCs w:val="21"/>
              </w:rPr>
            </m:ctrlPr>
          </m:sub>
        </m:sSub>
        <m:r>
          <m:rPr>
            <m:sty m:val="p"/>
          </m:rPr>
          <w:rPr>
            <w:rFonts w:ascii="Cambria Math" w:hAnsi="Cambria Math"/>
            <w:szCs w:val="21"/>
          </w:rPr>
          <m:t>)∈X=</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m:t>
            </m:r>
            <m:ctrlPr>
              <w:rPr>
                <w:rFonts w:ascii="Cambria Math" w:hAnsi="Cambria Math"/>
                <w:szCs w:val="21"/>
              </w:rPr>
            </m:ctrlPr>
          </m:sup>
        </m:sSup>
        <m:d>
          <m:dPr>
            <m:ctrlPr>
              <w:rPr>
                <w:rFonts w:ascii="Cambria Math" w:hAnsi="Cambria Math"/>
                <w:szCs w:val="21"/>
              </w:rPr>
            </m:ctrlPr>
          </m:dPr>
          <m:e>
            <m:r>
              <m:rPr>
                <m:sty m:val="p"/>
              </m:rPr>
              <w:rPr>
                <w:rFonts w:ascii="Cambria Math" w:hAnsi="Cambria Math"/>
                <w:szCs w:val="21"/>
              </w:rPr>
              <m:t>n=</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n</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ctrlPr>
              <w:rPr>
                <w:rFonts w:ascii="Cambria Math" w:hAnsi="Cambria Math"/>
                <w:szCs w:val="21"/>
              </w:rPr>
            </m:ctrlPr>
          </m:e>
        </m:d>
      </m:oMath>
      <w:r>
        <w:rPr>
          <w:szCs w:val="21"/>
        </w:rPr>
        <w:t>，每个</w:t>
      </w:r>
      <m:oMath>
        <m:r>
          <m:rPr>
            <m:sty m:val="p"/>
          </m:rPr>
          <w:rPr>
            <w:rFonts w:ascii="Cambria Math" w:hAnsi="Cambria Math"/>
            <w:szCs w:val="21"/>
          </w:rPr>
          <m:t>i∈N</m:t>
        </m:r>
      </m:oMath>
      <w:r>
        <w:rPr>
          <w:szCs w:val="21"/>
        </w:rPr>
        <w:t>.为所有国家主体与其它国家主体国际贸易的集合；</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(x)为第i个国家主体与其它国际主体商品交换后获得效用增加，</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(x)&gt;0，任何</w:t>
      </w:r>
      <m:oMath>
        <m:r>
          <m:rPr>
            <m:sty m:val="p"/>
          </m:rPr>
          <w:rPr>
            <w:rFonts w:ascii="Cambria Math" w:hAnsi="Cambria Math"/>
            <w:szCs w:val="21"/>
          </w:rPr>
          <m:t>i</m:t>
        </m:r>
      </m:oMath>
      <w:r>
        <w:rPr>
          <w:szCs w:val="21"/>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m:t>
              </m:r>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oMath>
            <w:r>
              <w:rPr>
                <w:szCs w:val="21"/>
              </w:rPr>
              <w:t>(</w:t>
            </w: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oMath>
            <w:r>
              <w:rPr>
                <w:szCs w:val="21"/>
              </w:rPr>
              <w:t>)</w:t>
            </w:r>
          </w:p>
        </w:tc>
        <w:tc>
          <w:tcPr>
            <w:tcW w:w="930" w:type="dxa"/>
            <w:vAlign w:val="center"/>
          </w:tcPr>
          <w:p>
            <w:pPr>
              <w:ind w:firstLine="0" w:firstLineChars="0"/>
              <w:jc w:val="right"/>
            </w:pPr>
            <w:r>
              <w:t>(4-</w:t>
            </w:r>
            <w:r>
              <w:rPr>
                <w:rFonts w:hint="eastAsia"/>
                <w:lang w:val="en-US" w:eastAsia="zh-CN"/>
              </w:rPr>
              <w:t>19</w:t>
            </w:r>
            <w:r>
              <w:t>)</w:t>
            </w:r>
          </w:p>
        </w:tc>
      </w:tr>
    </w:tbl>
    <w:p>
      <w:pPr>
        <w:widowControl/>
        <w:jc w:val="left"/>
        <w:rPr>
          <w:szCs w:val="21"/>
        </w:rPr>
      </w:pP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n</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r>
          <m:rPr>
            <m:sty m:val="p"/>
          </m:rPr>
          <w:rPr>
            <w:rFonts w:ascii="Cambria Math" w:hAnsi="Cambria Math"/>
            <w:szCs w:val="21"/>
          </w:rPr>
          <m:t>∈X</m:t>
        </m:r>
      </m:oMath>
      <w:r>
        <w:rPr>
          <w:szCs w:val="21"/>
        </w:rPr>
        <w:t xml:space="preserve"> 为帕累托优化竞争性均衡的国际贸易。</w:t>
      </w:r>
    </w:p>
    <w:p>
      <w:pPr>
        <w:rPr>
          <w:szCs w:val="21"/>
        </w:rPr>
      </w:pPr>
      <w:r>
        <w:rPr>
          <w:bCs/>
          <w:szCs w:val="21"/>
        </w:rPr>
        <w:t>即</w:t>
      </w:r>
      <w:r>
        <w:rPr>
          <w:szCs w:val="21"/>
        </w:rPr>
        <w:t>式（4-18）表述的以国家为经济主体的自由国际贸易存在式（4-19）表述的帕累托优化竞争性均衡。</w:t>
      </w:r>
    </w:p>
    <w:p>
      <w:pPr>
        <w:widowControl/>
        <w:jc w:val="left"/>
        <w:rPr>
          <w:szCs w:val="21"/>
        </w:rPr>
      </w:pPr>
      <w:r>
        <w:rPr>
          <w:szCs w:val="21"/>
        </w:rPr>
        <w:t>式（4-</w:t>
      </w:r>
      <w:r>
        <w:rPr>
          <w:rFonts w:hint="eastAsia"/>
          <w:szCs w:val="21"/>
          <w:lang w:val="en-US" w:eastAsia="zh-CN"/>
        </w:rPr>
        <w:t>18</w:t>
      </w:r>
      <w:r>
        <w:rPr>
          <w:szCs w:val="21"/>
        </w:rPr>
        <w:t>）表述的是以国家为主体的国际贸易，但现实的国际贸易都在单个经济主体之间进行。本文提出政府通过制定汇率和关税等政策让境内各种微观经济主体利益与国家利益一致。</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r>
                <m:rPr>
                  <m:sty m:val="p"/>
                </m:rPr>
                <w:rPr>
                  <w:rFonts w:ascii="Cambria Math" w:hAnsi="Cambria Math"/>
                  <w:szCs w:val="21"/>
                </w:rPr>
                <m:t>≦</m:t>
              </m:r>
            </m:oMath>
            <w:r>
              <w:rPr>
                <w:szCs w:val="21"/>
              </w:rPr>
              <w:t xml:space="preserve"> </w:t>
            </w:r>
            <m:oMath>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w:p>
        </w:tc>
        <w:tc>
          <w:tcPr>
            <w:tcW w:w="930" w:type="dxa"/>
            <w:vAlign w:val="center"/>
          </w:tcPr>
          <w:p>
            <w:pPr>
              <w:ind w:firstLine="0" w:firstLineChars="0"/>
              <w:jc w:val="right"/>
            </w:pPr>
            <w:r>
              <w:t>(4-2</w:t>
            </w:r>
            <w:r>
              <w:rPr>
                <w:rFonts w:hint="eastAsia"/>
                <w:lang w:val="en-US" w:eastAsia="zh-CN"/>
              </w:rPr>
              <w:t>0</w:t>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Para>
              <m:oMath>
                <m:r>
                  <m:rP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 xml:space="preserve"> ≧</m:t>
                </m:r>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m:oMathPara>
          </w:p>
        </w:tc>
        <w:tc>
          <w:tcPr>
            <w:tcW w:w="930" w:type="dxa"/>
            <w:vAlign w:val="center"/>
          </w:tcPr>
          <w:p>
            <w:pPr>
              <w:ind w:firstLine="0" w:firstLineChars="0"/>
              <w:jc w:val="right"/>
            </w:pPr>
            <w:r>
              <w:t>(4-2</w:t>
            </w:r>
            <w:r>
              <w:rPr>
                <w:rFonts w:hint="eastAsia"/>
                <w:lang w:val="en-US" w:eastAsia="zh-CN"/>
              </w:rPr>
              <w:t>1</w:t>
            </w:r>
            <w:r>
              <w:t>)</w:t>
            </w:r>
          </w:p>
        </w:tc>
      </w:tr>
    </w:tbl>
    <w:p>
      <w:pPr>
        <w:widowControl/>
        <w:jc w:val="left"/>
        <w:rPr>
          <w:szCs w:val="21"/>
        </w:rPr>
      </w:pPr>
      <w:r>
        <w:rPr>
          <w:szCs w:val="21"/>
        </w:rPr>
        <w:t>式中</w:t>
      </w: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oMath>
      <w:r>
        <w:rPr>
          <w:szCs w:val="21"/>
        </w:rPr>
        <w:t>为商品i的国内价格，</w:t>
      </w:r>
      <m:oMath>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if</m:t>
            </m:r>
            <m:ctrlPr>
              <w:rPr>
                <w:rFonts w:ascii="Cambria Math" w:hAnsi="Cambria Math"/>
                <w:i/>
                <w:szCs w:val="21"/>
              </w:rPr>
            </m:ctrlPr>
          </m:sub>
        </m:sSub>
      </m:oMath>
      <w:r>
        <w:rPr>
          <w:szCs w:val="21"/>
        </w:rPr>
        <w:t>为商品i的国外价格，E为政府确定的汇率，</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为政府对该商品征收的进口关税，</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为政府对该商品的出口补贴（征收的出口关税则为负），假设运输等其它费用为零。</w:t>
      </w:r>
    </w:p>
    <w:p>
      <w:r>
        <w:t>如果式（4-20）成立，则境内微观经济主体出口商品i将使国家资产效用增加；如果式（4-21）成立，则境内微观经济主体进口商品i将使国家资产效用增加。如果政府禁止出口某种商品，则对该商品征收无穷大出口关税；如果政府禁止进口某种商品，则对该商品征收无穷大进口关税。</w:t>
      </w:r>
    </w:p>
    <w:p>
      <w:r>
        <w:t>这样，政府通过汇率和关税政策让境内单个经济主体利益与国家整体利益一致，把单个经济主体之间的国际贸易转化为以国家为主体的国际贸易。</w:t>
      </w:r>
    </w:p>
    <w:p>
      <w:r>
        <w:t>2. 日常汇率管理</w:t>
      </w:r>
    </w:p>
    <w:p>
      <w:r>
        <w:t>汇率是外汇这个投资品的价格。根据附录1关于投资品价格不存在稳定均衡解的论述，汇率具有天生的不稳定性。但国际贸易需要稳定的汇率，否则进出口企业将承受比较大的汇率波动风险，阻碍国际贸易发展。政府可以通过央行在国际外汇市场公开操作实现本国货币汇率的稳定，具体做法为：政府确定一个汇率使国际贸易保持顺差状态，并保持一定数量的外汇储备。如果贸易顺差下降或外汇储备下降超出正常范围，则以渐变或突变的方式贬值本国货币，以使贸易顺差或外汇储备回到正常范围内。类似地，如果贸易顺差持续上升或外汇储备持续上升超出正常范围，则以渐变或突变的方式升值本国货币，以使贸易顺差或外汇储备回到正常范围内。</w:t>
      </w:r>
    </w:p>
    <w:p>
      <w:pPr>
        <w:pStyle w:val="31"/>
        <w:numPr>
          <w:ilvl w:val="0"/>
          <w:numId w:val="3"/>
        </w:numPr>
        <w:ind w:firstLineChars="0"/>
      </w:pPr>
      <w:r>
        <w:t>自由国际贸易对经济禀赋和通货膨胀临界点的影响</w:t>
      </w:r>
    </w:p>
    <w:p>
      <w:r>
        <w:t>上述自由国际贸易将优化封闭模型经济体的资产结构，促进私人部门产业技术升级，提高经济禀赋，即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&gt;a </w:t>
            </w:r>
          </w:p>
        </w:tc>
        <w:tc>
          <w:tcPr>
            <w:tcW w:w="930" w:type="dxa"/>
            <w:vAlign w:val="center"/>
          </w:tcPr>
          <w:p>
            <w:pPr>
              <w:ind w:firstLine="0" w:firstLineChars="0"/>
              <w:jc w:val="right"/>
            </w:pPr>
            <w:r>
              <w:t>(4-22)</w:t>
            </w:r>
          </w:p>
        </w:tc>
      </w:tr>
    </w:tbl>
    <w:p>
      <w:r>
        <w:rPr>
          <w:szCs w:val="21"/>
        </w:rPr>
        <w:t xml:space="preserve">式中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为实行自由国际贸易后的经济禀赋。</w:t>
      </w:r>
      <w:r>
        <w:t>同样的原因，上述自由国际贸易将提高触发通货膨胀的货币供应量增长率临界点，即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&gt;c </w:t>
            </w:r>
          </w:p>
        </w:tc>
        <w:tc>
          <w:tcPr>
            <w:tcW w:w="930" w:type="dxa"/>
            <w:vAlign w:val="center"/>
          </w:tcPr>
          <w:p>
            <w:pPr>
              <w:ind w:firstLine="0" w:firstLineChars="0"/>
              <w:jc w:val="right"/>
            </w:pPr>
            <w:r>
              <w:t>(4-23)</w:t>
            </w:r>
          </w:p>
        </w:tc>
      </w:tr>
    </w:tbl>
    <w:p>
      <w:r>
        <w:t>式</w:t>
      </w:r>
      <w:r>
        <w:rPr>
          <w:szCs w:val="21"/>
        </w:rPr>
        <w:t>中</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t>为实行自由国际贸易后的触发通货膨胀的货币供应量增长率临界点。</w:t>
      </w:r>
    </w:p>
    <w:p>
      <w:pPr>
        <w:pStyle w:val="31"/>
        <w:numPr>
          <w:ilvl w:val="0"/>
          <w:numId w:val="3"/>
        </w:numPr>
        <w:ind w:firstLineChars="0"/>
      </w:pPr>
      <w:r>
        <w:t>管理私人资本跨境流动是模型赖以存在的前提</w:t>
      </w:r>
    </w:p>
    <w:p>
      <w:r>
        <w:t>前文封闭的模型经济体政府依赖货币发行负债投资和支出，降低私人部门外部成本，实质上是政府给了私人部门补贴。私人部门财富通过跨境资本流动转移到国外将导致国家财富流失，具体形式是导致本国货币贬值，降低本国货币的国际购买力，降低国内居民的实际生活水平。反映到经济禀赋和通货膨胀临界点上，私人部门财富转移到国外将降低国内经济禀赋，降低触发通货膨胀的货币供应量增长率临界点。严重时将让政府管理的市场经济无法实现政府投资和支出与私人部门国际竞争力提高的良性逻辑循环。因此，管理私人资本跨境流动、对外投资和融资是政府管理的市场经济赖以建立和存在的前提条件。</w:t>
      </w:r>
    </w:p>
    <w:p>
      <w:r>
        <w:t>政府管理私人部门跨境资本流动后私人部门财富不能流失到国外，而是流向城市居民住房，使货币供应量的增加更多地导致城市居民住房价格上涨，这是货币数量方程为异质的重要原因之一。</w:t>
      </w:r>
    </w:p>
    <w:p>
      <w:pPr>
        <w:pStyle w:val="31"/>
        <w:numPr>
          <w:ilvl w:val="0"/>
          <w:numId w:val="3"/>
        </w:numPr>
        <w:ind w:firstLineChars="0"/>
        <w:rPr>
          <w:bCs/>
          <w:szCs w:val="21"/>
        </w:rPr>
      </w:pPr>
      <w:r>
        <w:rPr>
          <w:rFonts w:asciiTheme="minorEastAsia" w:hAnsiTheme="minorEastAsia" w:eastAsiaTheme="minorEastAsia" w:cstheme="minorEastAsia"/>
        </w:rPr>
        <w:t>重商主义有一定的</w:t>
      </w:r>
      <w:r>
        <w:rPr>
          <w:rFonts w:hint="eastAsia" w:asciiTheme="minorEastAsia" w:hAnsiTheme="minorEastAsia" w:eastAsiaTheme="minorEastAsia" w:cstheme="minorEastAsia"/>
          <w:lang w:val="en-US" w:eastAsia="zh-CN"/>
        </w:rPr>
        <w:t>合理性</w:t>
      </w:r>
    </w:p>
    <w:p>
      <w:r>
        <w:t>经验是获得知识的重要途径</w:t>
      </w:r>
      <w:r>
        <w:fldChar w:fldCharType="begin"/>
      </w:r>
      <w:r>
        <w:instrText xml:space="preserve"> ADDIN EN.CITE &lt;EndNote&gt;&lt;Cite&gt;&lt;Author&gt;Arrow&lt;/Author&gt;&lt;Year&gt;1971&lt;/Year&gt;&lt;RecNum&gt;943&lt;/RecNum&gt;&lt;DisplayText&gt;(Kenneth Joseph Arrow, 1971)&lt;/DisplayText&gt;&lt;record&gt;&lt;rec-number&gt;943&lt;/rec-number&gt;&lt;foreign-keys&gt;&lt;key app="EN" db-id="dfw50pzpwrep2aeerx4v2xdyaa5vzeftr0xv" timestamp="1674197525"&gt;943&lt;/key&gt;&lt;/foreign-keys&gt;&lt;ref-type name="Book Section"&gt;5&lt;/ref-type&gt;&lt;contributors&gt;&lt;authors&gt;&lt;author&gt;Arrow, Kenneth Joseph&lt;/author&gt;&lt;/authors&gt;&lt;/contributors&gt;&lt;titles&gt;&lt;title&gt;The economic implications of learning by doing&lt;/title&gt;&lt;secondary-title&gt;Readings in the Theory of Growth&lt;/secondary-title&gt;&lt;/titles&gt;&lt;pages&gt;131-149&lt;/pages&gt;&lt;dates&gt;&lt;year&gt;1971&lt;/year&gt;&lt;/dates&gt;&lt;publisher&gt;Springer&lt;/publisher&gt;&lt;urls&gt;&lt;/urls&gt;&lt;/record&gt;&lt;/Cite&gt;&lt;/EndNote&gt;</w:instrText>
      </w:r>
      <w:r>
        <w:fldChar w:fldCharType="separate"/>
      </w:r>
      <w:r>
        <w:t>(Arrow, 1971)</w:t>
      </w:r>
      <w:r>
        <w:fldChar w:fldCharType="end"/>
      </w:r>
      <w:r>
        <w:t>。任何国家的政府都希望保留更多的产业，都希望本国货币汇率比较低，重要产业进口关税高，出口补贴多。这意味着各国的汇率与关税政策是利益冲突的，即国与国之间的汇率与关税政策是国与国之间的非合作博弈，这意味着重商主义有一定的合理性。</w:t>
      </w:r>
    </w:p>
    <w:p>
      <w:pPr>
        <w:rPr>
          <w:rFonts w:hint="default"/>
        </w:rPr>
      </w:pPr>
      <w:r>
        <w:t>政府投资经济基础设施等构成对私人部门的补贴，降低本国产品成本促进出口，因此政府投资是提高本国产品国际竞争力的重要政策之一。</w:t>
      </w:r>
    </w:p>
    <w:p>
      <w:r>
        <w:t>国与国之间应该展开国际贸易谈判，在汇率和关税政策上妥协而达成一致，实现共赢。</w:t>
      </w:r>
    </w:p>
    <w:p>
      <w:pPr>
        <w:ind w:left="0" w:leftChars="0" w:firstLine="420" w:firstLineChars="200"/>
        <w:rPr>
          <w:rFonts w:hint="eastAsia"/>
          <w:lang w:val="en-US" w:eastAsia="zh-CN"/>
        </w:rPr>
      </w:pPr>
      <w:r>
        <w:t>（六）</w:t>
      </w:r>
      <w:r>
        <w:rPr>
          <w:rFonts w:hint="eastAsia"/>
          <w:lang w:val="en-US" w:eastAsia="zh-CN"/>
        </w:rPr>
        <w:t>一个新的经济理论框架</w:t>
      </w:r>
    </w:p>
    <w:p>
      <w:pPr>
        <w:ind w:left="0" w:leftChars="0" w:firstLine="420" w:firstLineChars="200"/>
        <w:rPr>
          <w:rFonts w:hint="default"/>
          <w:lang w:eastAsia="zh-CN"/>
        </w:rPr>
      </w:pPr>
      <w:r>
        <w:rPr>
          <w:rFonts w:hint="default"/>
          <w:lang w:eastAsia="zh-CN"/>
        </w:rPr>
        <w:t>本文</w:t>
      </w:r>
      <w:r>
        <w:rPr>
          <w:rFonts w:hint="eastAsia"/>
          <w:lang w:val="en-US" w:eastAsia="zh-CN"/>
        </w:rPr>
        <w:t>模型</w:t>
      </w:r>
      <w:r>
        <w:rPr>
          <w:rFonts w:hint="default"/>
          <w:lang w:eastAsia="zh-CN"/>
        </w:rPr>
        <w:t>的经济理论框架与新古典学派及凯恩斯学派</w:t>
      </w:r>
      <w:r>
        <w:rPr>
          <w:rFonts w:hint="eastAsia"/>
          <w:lang w:val="en-US" w:eastAsia="zh-CN"/>
        </w:rPr>
        <w:t>各类模型</w:t>
      </w:r>
      <w:r>
        <w:rPr>
          <w:rFonts w:hint="default"/>
          <w:lang w:eastAsia="zh-CN"/>
        </w:rPr>
        <w:t>的经济理论框架有如下的相同和不同。</w:t>
      </w:r>
    </w:p>
    <w:p>
      <w:r>
        <w:t>1. 新古典学派和凯恩斯学派</w:t>
      </w:r>
      <w:r>
        <w:rPr>
          <w:rFonts w:hint="eastAsia"/>
          <w:lang w:val="en-US" w:eastAsia="zh-CN"/>
        </w:rPr>
        <w:t>各类模型</w:t>
      </w:r>
      <w:r>
        <w:t>认为市场经济存在最优解，本文模型认为市场经济没有最优解。</w:t>
      </w:r>
    </w:p>
    <w:p>
      <w:pPr>
        <w:rPr>
          <w:rFonts w:hint="default" w:eastAsia="宋体"/>
          <w:lang w:val="en-US" w:eastAsia="zh-CN"/>
        </w:rPr>
      </w:pPr>
      <w:r>
        <w:t>新古典学派认为没有政府干预的自由市场经济能自身实现竞争性均衡</w:t>
      </w:r>
      <w:r>
        <w:rPr>
          <w:rFonts w:hint="eastAsia"/>
          <w:lang w:eastAsia="zh-CN"/>
        </w:rPr>
        <w:t>（</w:t>
      </w:r>
      <w:r>
        <w:t>一般均衡</w:t>
      </w:r>
      <w:r>
        <w:rPr>
          <w:rFonts w:hint="eastAsia"/>
          <w:lang w:eastAsia="zh-CN"/>
        </w:rPr>
        <w:t>）</w:t>
      </w:r>
      <w:r>
        <w:t>，因此无需政府对市场经济的管理。凯恩斯学派希克斯模型认为政府支出将影响市场利率，市场经济存在均衡市场利率，政府对市场经济的管理就是找到合适的政府支出使市场利率处于均衡状态。</w:t>
      </w:r>
      <w:r>
        <w:rPr>
          <w:rFonts w:hint="eastAsia"/>
          <w:lang w:val="en-US" w:eastAsia="zh-CN"/>
        </w:rPr>
        <w:t>本文认为没有政府干预的市场经济难以实现优化竞争性均衡，难以实现劳动力全就业，政府货币政策和投资及支出政策可以调节社会需求提高劳动力利用率</w:t>
      </w:r>
      <w:r>
        <w:rPr>
          <w:rFonts w:hint="eastAsia" w:ascii="微软雅黑" w:hAnsi="微软雅黑" w:eastAsia="微软雅黑" w:cs="微软雅黑"/>
          <w:lang w:val="en-US" w:eastAsia="zh-CN"/>
        </w:rPr>
        <w:t>、</w:t>
      </w:r>
      <w:r>
        <w:rPr>
          <w:rFonts w:hint="eastAsia"/>
          <w:lang w:val="en-US" w:eastAsia="zh-CN"/>
        </w:rPr>
        <w:t>改善民众生活</w:t>
      </w:r>
      <w:r>
        <w:rPr>
          <w:rFonts w:hint="eastAsia" w:ascii="微软雅黑" w:hAnsi="微软雅黑" w:eastAsia="微软雅黑" w:cs="微软雅黑"/>
          <w:lang w:val="en-US" w:eastAsia="zh-CN"/>
        </w:rPr>
        <w:t>、</w:t>
      </w:r>
      <w:r>
        <w:rPr>
          <w:rFonts w:hint="eastAsia"/>
          <w:lang w:val="en-US" w:eastAsia="zh-CN"/>
        </w:rPr>
        <w:t>提高经济体禀赋。</w:t>
      </w:r>
    </w:p>
    <w:p>
      <w:pPr>
        <w:rPr>
          <w:rFonts w:hint="eastAsia"/>
          <w:lang w:val="en-US" w:eastAsia="zh-CN"/>
        </w:rPr>
      </w:pPr>
      <w:r>
        <w:rPr>
          <w:rFonts w:hint="eastAsia"/>
          <w:lang w:val="en-US" w:eastAsia="zh-CN"/>
        </w:rPr>
        <w:t>2</w:t>
      </w:r>
      <w:r>
        <w:t xml:space="preserve">. </w:t>
      </w:r>
      <w:r>
        <w:rPr>
          <w:rFonts w:hint="eastAsia"/>
          <w:lang w:val="en-US" w:eastAsia="zh-CN"/>
        </w:rPr>
        <w:t>新古典学派</w:t>
      </w:r>
      <w:r>
        <w:rPr>
          <w:rFonts w:hint="eastAsia" w:ascii="微软雅黑" w:hAnsi="微软雅黑" w:eastAsia="微软雅黑" w:cs="微软雅黑"/>
          <w:lang w:val="en-US" w:eastAsia="zh-CN"/>
        </w:rPr>
        <w:t>、</w:t>
      </w:r>
      <w:r>
        <w:rPr>
          <w:rFonts w:hint="eastAsia"/>
          <w:lang w:val="en-US" w:eastAsia="zh-CN"/>
        </w:rPr>
        <w:t>凯恩斯学派和本文的模型</w:t>
      </w:r>
      <w:r>
        <w:rPr>
          <w:rFonts w:hint="default"/>
          <w:lang w:eastAsia="zh-CN"/>
        </w:rPr>
        <w:t>都</w:t>
      </w:r>
      <w:r>
        <w:rPr>
          <w:rFonts w:hint="eastAsia"/>
          <w:lang w:val="en-US" w:eastAsia="zh-CN"/>
        </w:rPr>
        <w:t>有各自最基础的经济变量关系曲线。</w:t>
      </w:r>
    </w:p>
    <w:p>
      <w:pPr>
        <w:rPr>
          <w:rFonts w:hint="eastAsia" w:asciiTheme="minorEastAsia" w:hAnsiTheme="minorEastAsia" w:eastAsiaTheme="minorEastAsia" w:cstheme="minorEastAsia"/>
        </w:rPr>
      </w:pPr>
      <w:r>
        <w:rPr>
          <w:rFonts w:hint="eastAsia"/>
          <w:lang w:val="en-US" w:eastAsia="zh-CN"/>
        </w:rPr>
        <w:t>索洛模型</w:t>
      </w:r>
      <w:r>
        <w:rPr>
          <w:rFonts w:hint="eastAsia" w:asciiTheme="minorEastAsia" w:hAnsiTheme="minorEastAsia" w:eastAsiaTheme="minorEastAsia" w:cstheme="minorEastAsia"/>
          <w:szCs w:val="21"/>
        </w:rPr>
        <w:t>劳动力与资本积累比例</w:t>
      </w:r>
      <w:r>
        <w:rPr>
          <w:rFonts w:hint="eastAsia" w:asciiTheme="minorEastAsia" w:hAnsiTheme="minorEastAsia" w:eastAsiaTheme="minorEastAsia" w:cstheme="minorEastAsia"/>
          <w:szCs w:val="21"/>
          <w:lang w:val="en-US" w:eastAsia="zh-CN"/>
        </w:rPr>
        <w:t>r与时间的关系曲线是新古典学派</w:t>
      </w:r>
      <w:r>
        <w:rPr>
          <w:rFonts w:hint="eastAsia"/>
          <w:lang w:val="en-US" w:eastAsia="zh-CN"/>
        </w:rPr>
        <w:t>最基础的经济变量关系曲线。索洛模型认为</w:t>
      </w:r>
      <w:r>
        <w:rPr>
          <w:rFonts w:hint="eastAsia" w:asciiTheme="minorEastAsia" w:hAnsiTheme="minorEastAsia" w:eastAsiaTheme="minorEastAsia" w:cstheme="minorEastAsia"/>
          <w:szCs w:val="21"/>
          <w:lang w:val="en-US" w:eastAsia="zh-CN"/>
        </w:rPr>
        <w:t>该曲线</w:t>
      </w:r>
      <w:r>
        <w:rPr>
          <w:rFonts w:hint="eastAsia" w:asciiTheme="minorEastAsia" w:hAnsiTheme="minorEastAsia" w:eastAsiaTheme="minorEastAsia" w:cstheme="minorEastAsia"/>
          <w:szCs w:val="21"/>
        </w:rPr>
        <w:t>经过短期震荡后中长期将实现稳定均衡，达到最优值，实现劳动力和资本积累全利用。</w:t>
      </w:r>
      <w:r>
        <w:rPr>
          <w:rFonts w:hint="eastAsia" w:asciiTheme="minorEastAsia" w:hAnsiTheme="minorEastAsia" w:eastAsiaTheme="minorEastAsia" w:cstheme="minorEastAsia"/>
          <w:szCs w:val="21"/>
          <w:lang w:val="en-US" w:eastAsia="zh-CN"/>
        </w:rPr>
        <w:t>因此，新古典学派不主张政府干预市场经济。</w:t>
      </w:r>
      <w:r>
        <w:rPr>
          <w:rFonts w:hint="eastAsia" w:asciiTheme="minorEastAsia" w:hAnsiTheme="minorEastAsia" w:eastAsiaTheme="minorEastAsia" w:cstheme="minorEastAsia"/>
        </w:rPr>
        <w:t>希克斯的IS-LM</w:t>
      </w:r>
      <w:r>
        <w:rPr>
          <w:rFonts w:hint="eastAsia" w:asciiTheme="minorEastAsia" w:hAnsiTheme="minorEastAsia" w:eastAsiaTheme="minorEastAsia" w:cstheme="minorEastAsia"/>
          <w:lang w:val="en-US" w:eastAsia="zh-CN"/>
        </w:rPr>
        <w:t>曲线是凯恩斯学派</w:t>
      </w:r>
      <w:r>
        <w:rPr>
          <w:rFonts w:hint="eastAsia"/>
          <w:lang w:val="en-US" w:eastAsia="zh-CN"/>
        </w:rPr>
        <w:t>最基础的经济变量关系曲线</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认为投资与利率</w:t>
      </w:r>
      <w:r>
        <w:rPr>
          <w:rFonts w:hint="eastAsia" w:ascii="微软雅黑" w:hAnsi="微软雅黑" w:eastAsia="微软雅黑" w:cs="微软雅黑"/>
        </w:rPr>
        <w:t>、</w:t>
      </w:r>
      <w:r>
        <w:rPr>
          <w:rFonts w:hint="eastAsia" w:asciiTheme="minorEastAsia" w:hAnsiTheme="minorEastAsia" w:eastAsiaTheme="minorEastAsia" w:cstheme="minorEastAsia"/>
        </w:rPr>
        <w:t>货币供应量与利率这两条</w:t>
      </w:r>
      <w:r>
        <w:rPr>
          <w:rFonts w:hint="eastAsia" w:asciiTheme="minorEastAsia" w:hAnsiTheme="minorEastAsia" w:eastAsiaTheme="minorEastAsia" w:cstheme="minorEastAsia"/>
          <w:lang w:val="en-US" w:eastAsia="zh-CN"/>
        </w:rPr>
        <w:t>关系</w:t>
      </w:r>
      <w:r>
        <w:rPr>
          <w:rFonts w:hint="eastAsia" w:asciiTheme="minorEastAsia" w:hAnsiTheme="minorEastAsia" w:eastAsiaTheme="minorEastAsia" w:cstheme="minorEastAsia"/>
        </w:rPr>
        <w:t>曲线的交叉点是均衡利率点，均衡利率点</w:t>
      </w:r>
      <w:r>
        <w:rPr>
          <w:rFonts w:hint="eastAsia" w:asciiTheme="minorEastAsia" w:hAnsiTheme="minorEastAsia" w:eastAsiaTheme="minorEastAsia" w:cstheme="minorEastAsia"/>
          <w:lang w:val="en-US" w:eastAsia="zh-CN"/>
        </w:rPr>
        <w:t>对应</w:t>
      </w:r>
      <w:r>
        <w:rPr>
          <w:rFonts w:hint="eastAsia" w:asciiTheme="minorEastAsia" w:hAnsiTheme="minorEastAsia" w:eastAsiaTheme="minorEastAsia" w:cstheme="minorEastAsia"/>
        </w:rPr>
        <w:t>均衡社会产出</w:t>
      </w:r>
      <w:r>
        <w:rPr>
          <w:rFonts w:hint="eastAsia"/>
          <w:lang w:val="en-US" w:eastAsia="zh-CN"/>
        </w:rPr>
        <w:t>。因此，凯恩斯学派的目标是找到最佳的政府投资和支出。图4-2是本文模型的最基础经济变量关系曲线，本文模型主张在</w:t>
      </w:r>
      <w:r>
        <w:rPr>
          <w:rFonts w:hint="eastAsia" w:asciiTheme="minorEastAsia" w:hAnsiTheme="minorEastAsia" w:eastAsiaTheme="minorEastAsia" w:cstheme="minorEastAsia"/>
        </w:rPr>
        <w:t>保证通货膨胀率低于政策目标b值的条件下，用货币政策和政府投资及支出</w:t>
      </w:r>
      <w:r>
        <w:rPr>
          <w:rFonts w:hint="eastAsia" w:asciiTheme="minorEastAsia" w:hAnsiTheme="minorEastAsia" w:eastAsiaTheme="minorEastAsia" w:cstheme="minorEastAsia"/>
          <w:lang w:val="en-US" w:eastAsia="zh-CN"/>
        </w:rPr>
        <w:t>政策</w:t>
      </w:r>
      <w:r>
        <w:rPr>
          <w:rFonts w:hint="eastAsia" w:asciiTheme="minorEastAsia" w:hAnsiTheme="minorEastAsia" w:eastAsiaTheme="minorEastAsia" w:cstheme="minorEastAsia"/>
        </w:rPr>
        <w:t>最大程度提高社会需求以</w:t>
      </w:r>
      <w:r>
        <w:rPr>
          <w:rFonts w:hint="eastAsia" w:asciiTheme="minorEastAsia" w:hAnsiTheme="minorEastAsia" w:eastAsiaTheme="minorEastAsia" w:cstheme="minorEastAsia"/>
          <w:lang w:val="en-US" w:eastAsia="zh-CN"/>
        </w:rPr>
        <w:t>最大程度改善</w:t>
      </w:r>
      <w:r>
        <w:rPr>
          <w:rFonts w:hint="eastAsia" w:asciiTheme="minorEastAsia" w:hAnsiTheme="minorEastAsia" w:eastAsiaTheme="minorEastAsia" w:cstheme="minorEastAsia"/>
        </w:rPr>
        <w:t>民众</w:t>
      </w:r>
      <w:r>
        <w:rPr>
          <w:rFonts w:hint="eastAsia" w:asciiTheme="minorEastAsia" w:hAnsiTheme="minorEastAsia" w:eastAsiaTheme="minorEastAsia" w:cstheme="minorEastAsia"/>
          <w:lang w:val="en-US" w:eastAsia="zh-CN"/>
        </w:rPr>
        <w:t>生活</w:t>
      </w:r>
      <w:r>
        <w:rPr>
          <w:rFonts w:hint="eastAsia" w:ascii="微软雅黑" w:hAnsi="微软雅黑" w:eastAsia="微软雅黑" w:cs="微软雅黑"/>
        </w:rPr>
        <w:t>、</w:t>
      </w:r>
      <w:r>
        <w:rPr>
          <w:rFonts w:hint="eastAsia" w:asciiTheme="minorEastAsia" w:hAnsiTheme="minorEastAsia" w:eastAsiaTheme="minorEastAsia" w:cstheme="minorEastAsia"/>
        </w:rPr>
        <w:t>提高经济体禀赋</w:t>
      </w:r>
      <w:r>
        <w:rPr>
          <w:rFonts w:hint="eastAsia" w:ascii="微软雅黑" w:hAnsi="微软雅黑" w:eastAsia="微软雅黑" w:cs="微软雅黑"/>
        </w:rPr>
        <w:t>、</w:t>
      </w:r>
      <w:r>
        <w:rPr>
          <w:rFonts w:hint="eastAsia" w:asciiTheme="minorEastAsia" w:hAnsiTheme="minorEastAsia" w:eastAsiaTheme="minorEastAsia" w:cstheme="minorEastAsia"/>
        </w:rPr>
        <w:t>提高经济</w:t>
      </w:r>
      <w:r>
        <w:rPr>
          <w:rFonts w:hint="eastAsia" w:asciiTheme="minorEastAsia" w:hAnsiTheme="minorEastAsia" w:eastAsiaTheme="minorEastAsia" w:cstheme="minorEastAsia"/>
          <w:lang w:val="en-US" w:eastAsia="zh-CN"/>
        </w:rPr>
        <w:t>体国际竞争力和</w:t>
      </w:r>
      <w:r>
        <w:rPr>
          <w:rFonts w:hint="eastAsia" w:asciiTheme="minorEastAsia" w:hAnsiTheme="minorEastAsia" w:eastAsiaTheme="minorEastAsia" w:cstheme="minorEastAsia"/>
        </w:rPr>
        <w:t>可持续增长潜力。</w:t>
      </w:r>
    </w:p>
    <w:p>
      <w:r>
        <w:rPr>
          <w:rFonts w:hint="eastAsia"/>
          <w:lang w:val="en-US" w:eastAsia="zh-CN"/>
        </w:rPr>
        <w:t>3</w:t>
      </w:r>
      <w:r>
        <w:t xml:space="preserve">. </w:t>
      </w:r>
      <w:r>
        <w:rPr>
          <w:rFonts w:hint="default" w:asciiTheme="minorEastAsia" w:hAnsiTheme="minorEastAsia" w:eastAsiaTheme="minorEastAsia" w:cstheme="minorEastAsia"/>
        </w:rPr>
        <w:t>经济理论研究重点不同</w:t>
      </w:r>
    </w:p>
    <w:p>
      <w:pPr>
        <w:rPr>
          <w:rFonts w:hint="default" w:asciiTheme="minorEastAsia" w:hAnsiTheme="minorEastAsia" w:eastAsiaTheme="minorEastAsia" w:cstheme="minorEastAsia"/>
        </w:rPr>
      </w:pPr>
      <w:r>
        <w:rPr>
          <w:rFonts w:hint="default" w:asciiTheme="minorEastAsia" w:hAnsiTheme="minorEastAsia" w:eastAsiaTheme="minorEastAsia" w:cstheme="minorEastAsia"/>
        </w:rPr>
        <w:t>新古典学派索洛认为资本积累对人口的比例r存在最佳值，新古典其它模型和凯恩斯学派模型都认为经济变量之间存在最佳比例，因此其</w:t>
      </w:r>
      <w:r>
        <w:rPr>
          <w:rFonts w:hint="eastAsia" w:asciiTheme="minorEastAsia" w:hAnsiTheme="minorEastAsia" w:eastAsiaTheme="minorEastAsia" w:cstheme="minorEastAsia"/>
          <w:lang w:val="en-US" w:eastAsia="zh-CN"/>
        </w:rPr>
        <w:t>经济理论</w:t>
      </w:r>
      <w:r>
        <w:rPr>
          <w:rFonts w:hint="default" w:asciiTheme="minorEastAsia" w:hAnsiTheme="minorEastAsia" w:eastAsiaTheme="minorEastAsia" w:cstheme="minorEastAsia"/>
        </w:rPr>
        <w:t>研究重点在于</w:t>
      </w:r>
      <w:r>
        <w:rPr>
          <w:rFonts w:hint="eastAsia" w:asciiTheme="minorEastAsia" w:hAnsiTheme="minorEastAsia" w:eastAsiaTheme="minorEastAsia" w:cstheme="minorEastAsia"/>
          <w:lang w:val="en-US" w:eastAsia="zh-CN"/>
        </w:rPr>
        <w:t>通过各种经济数据</w:t>
      </w:r>
      <w:r>
        <w:rPr>
          <w:rFonts w:hint="default" w:asciiTheme="minorEastAsia" w:hAnsiTheme="minorEastAsia" w:eastAsiaTheme="minorEastAsia" w:cstheme="minorEastAsia"/>
        </w:rPr>
        <w:t>寻找</w:t>
      </w:r>
      <w:r>
        <w:rPr>
          <w:rFonts w:hint="eastAsia" w:asciiTheme="minorEastAsia" w:hAnsiTheme="minorEastAsia" w:eastAsiaTheme="minorEastAsia" w:cstheme="minorEastAsia"/>
          <w:lang w:val="en-US" w:eastAsia="zh-CN"/>
        </w:rPr>
        <w:t>各种经济变量之间的</w:t>
      </w:r>
      <w:r>
        <w:rPr>
          <w:rFonts w:hint="default" w:asciiTheme="minorEastAsia" w:hAnsiTheme="minorEastAsia" w:eastAsiaTheme="minorEastAsia" w:cstheme="minorEastAsia"/>
        </w:rPr>
        <w:t>最佳比例。本文模型认为综合反映经济体资本积累的经济体禀赋越大越好，重点在于</w:t>
      </w:r>
      <w:r>
        <w:rPr>
          <w:rFonts w:hint="eastAsia" w:asciiTheme="minorEastAsia" w:hAnsiTheme="minorEastAsia" w:eastAsiaTheme="minorEastAsia" w:cstheme="minorEastAsia"/>
          <w:lang w:val="en-US" w:eastAsia="zh-CN"/>
        </w:rPr>
        <w:t>在保证通货膨胀率低于政策目标b值的前提条件下优化政府货币政策和投资及支出政策以提高社会需求</w:t>
      </w:r>
      <w:r>
        <w:rPr>
          <w:rFonts w:hint="eastAsia" w:ascii="微软雅黑" w:hAnsi="微软雅黑" w:eastAsia="微软雅黑" w:cs="微软雅黑"/>
          <w:lang w:val="en-US" w:eastAsia="zh-CN"/>
        </w:rPr>
        <w:t>、</w:t>
      </w:r>
      <w:r>
        <w:rPr>
          <w:rFonts w:hint="eastAsia" w:asciiTheme="minorEastAsia" w:hAnsiTheme="minorEastAsia" w:eastAsiaTheme="minorEastAsia" w:cstheme="minorEastAsia"/>
          <w:lang w:val="en-US" w:eastAsia="zh-CN"/>
        </w:rPr>
        <w:t>改善民众生活和提高经济体禀赋；同时设计</w:t>
      </w:r>
      <w:r>
        <w:rPr>
          <w:rFonts w:hint="default" w:asciiTheme="minorEastAsia" w:hAnsiTheme="minorEastAsia" w:eastAsiaTheme="minorEastAsia" w:cstheme="minorEastAsia"/>
        </w:rPr>
        <w:t>完善各种</w:t>
      </w:r>
      <w:r>
        <w:rPr>
          <w:rFonts w:hint="eastAsia" w:asciiTheme="minorEastAsia" w:hAnsiTheme="minorEastAsia" w:eastAsiaTheme="minorEastAsia" w:cstheme="minorEastAsia"/>
          <w:lang w:val="en-US" w:eastAsia="zh-CN"/>
        </w:rPr>
        <w:t>微观</w:t>
      </w:r>
      <w:r>
        <w:rPr>
          <w:rFonts w:hint="default" w:asciiTheme="minorEastAsia" w:hAnsiTheme="minorEastAsia" w:eastAsiaTheme="minorEastAsia" w:cstheme="minorEastAsia"/>
        </w:rPr>
        <w:t>社会制度激励各经济主体提高知识以提高市场竞争力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这是提高经济体禀赋的根本</w:t>
      </w:r>
      <w:r>
        <w:rPr>
          <w:rFonts w:hint="default" w:asciiTheme="minorEastAsia" w:hAnsiTheme="minorEastAsia" w:eastAsiaTheme="minorEastAsia" w:cstheme="minorEastAsia"/>
        </w:rPr>
        <w:t>。</w:t>
      </w:r>
    </w:p>
    <w:p>
      <w:pPr>
        <w:rPr>
          <w:rFonts w:hint="default" w:asciiTheme="minorEastAsia" w:hAnsiTheme="minorEastAsia" w:eastAsiaTheme="minorEastAsia" w:cstheme="minorEastAsia"/>
        </w:rPr>
      </w:pPr>
      <w:r>
        <w:rPr>
          <w:rFonts w:hint="default" w:asciiTheme="minorEastAsia" w:hAnsiTheme="minorEastAsia" w:eastAsiaTheme="minorEastAsia" w:cstheme="minorEastAsia"/>
        </w:rPr>
        <w:t>比如高等教育入学考试制度在本文经济理论框架下就是最重要的社会制度之一，因为它直接深刻影响人口对自身知识的投资</w:t>
      </w:r>
      <w:r>
        <w:rPr>
          <w:rFonts w:hint="eastAsia" w:ascii="微软雅黑" w:hAnsi="微软雅黑" w:eastAsia="微软雅黑" w:cs="微软雅黑"/>
        </w:rPr>
        <w:t>、</w:t>
      </w:r>
      <w:r>
        <w:rPr>
          <w:rFonts w:hint="eastAsia" w:asciiTheme="minorEastAsia" w:hAnsiTheme="minorEastAsia" w:eastAsiaTheme="minorEastAsia" w:cstheme="minorEastAsia"/>
          <w:lang w:val="en-US" w:eastAsia="zh-CN"/>
        </w:rPr>
        <w:t>影响人口资本积累</w:t>
      </w:r>
      <w:r>
        <w:rPr>
          <w:bCs/>
          <w:szCs w:val="21"/>
        </w:rPr>
        <w:t xml:space="preserve"> 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r>
        <w:rPr>
          <w:rFonts w:hint="default"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本文认为</w:t>
      </w:r>
      <w:r>
        <w:rPr>
          <w:rFonts w:hint="default" w:asciiTheme="minorEastAsia" w:hAnsiTheme="minorEastAsia" w:eastAsiaTheme="minorEastAsia" w:cstheme="minorEastAsia"/>
        </w:rPr>
        <w:t>中国过去四十多年来经济的巨大成功与恢复高考制度不无关系。其它社会制度如科学与技术研究考核制度，干部升迁制度，企业竞争制度等都是本经济理论框架的重要内容，其目标是激励各经济主体最大程度增加知识积累</w:t>
      </w:r>
      <w:r>
        <w:rPr>
          <w:rFonts w:hint="eastAsia" w:asciiTheme="minorEastAsia" w:hAnsiTheme="minorEastAsia" w:eastAsiaTheme="minorEastAsia" w:cstheme="minorEastAsia"/>
          <w:lang w:val="en-US" w:eastAsia="zh-CN"/>
        </w:rPr>
        <w:t>以提高自身市场竞争力</w:t>
      </w:r>
      <w:r>
        <w:rPr>
          <w:rFonts w:hint="default" w:asciiTheme="minorEastAsia" w:hAnsiTheme="minorEastAsia" w:eastAsiaTheme="minorEastAsia" w:cstheme="minorEastAsia"/>
        </w:rPr>
        <w:t>，最快速度提高经济体禀赋。</w:t>
      </w:r>
    </w:p>
    <w:p>
      <w:pPr>
        <w:rPr>
          <w:rFonts w:hint="default" w:asciiTheme="minorEastAsia" w:hAnsiTheme="minorEastAsia" w:eastAsiaTheme="minorEastAsia" w:cstheme="minorEastAsia"/>
        </w:rPr>
      </w:pPr>
      <w:r>
        <w:rPr>
          <w:rFonts w:hint="eastAsia"/>
          <w:lang w:val="en-US" w:eastAsia="zh-CN"/>
        </w:rPr>
        <w:t>4</w:t>
      </w:r>
      <w:r>
        <w:t xml:space="preserve">. </w:t>
      </w:r>
      <w:r>
        <w:rPr>
          <w:rFonts w:hint="default" w:asciiTheme="minorEastAsia" w:hAnsiTheme="minorEastAsia" w:eastAsiaTheme="minorEastAsia" w:cstheme="minorEastAsia"/>
        </w:rPr>
        <w:t>有为政府和有效政府</w:t>
      </w:r>
    </w:p>
    <w:p>
      <w:pPr>
        <w:ind w:left="0" w:leftChars="0" w:firstLine="0" w:firstLineChars="0"/>
      </w:pPr>
      <w:r>
        <w:t xml:space="preserve">    政府与市场的关系，有为政府和有效政府等问题国内众多经济学家有论述</w: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bHM+PC9yZWNvcmQ+PC9DaXRlPjwvRW5kTm90ZT5AAA==
</w:fldData>
        </w:fldChar>
      </w:r>
      <w:r>
        <w:instrText xml:space="preserve"> ADDIN EN.CITE </w:instrTex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bHM+PC9yZWNvcmQ+PC9DaXRlPjwvRW5kTm90ZT5AAA==
</w:fldData>
        </w:fldChar>
      </w:r>
      <w:r>
        <w:instrText xml:space="preserve"> ADDIN EN.CITE.DATA </w:instrText>
      </w:r>
      <w:r>
        <w:fldChar w:fldCharType="end"/>
      </w:r>
      <w:r>
        <w:fldChar w:fldCharType="separate"/>
      </w:r>
      <w:r>
        <w:t>(林毅夫, 2011, 2014; 田国强, 2016, 2017)</w:t>
      </w:r>
      <w:r>
        <w:fldChar w:fldCharType="end"/>
      </w:r>
      <w:r>
        <w:t>。本文认为政府的有为和有效在于如下两个方面：第一、基于政府化的货币体系，在保证通货膨胀率低于政策目标b值的条件下，通过货币政策和政府投资及支出最大程度提高社会需求，最快速度提高经济体禀赋，提高</w:t>
      </w:r>
      <w:r>
        <w:rPr>
          <w:rFonts w:hint="eastAsia"/>
          <w:lang w:val="en-US" w:eastAsia="zh-CN"/>
        </w:rPr>
        <w:t>经济体</w:t>
      </w:r>
      <w:r>
        <w:t>生产力水平和国际竞争力。第二、设计完善各类社会制度，激励各经济主体积累知识以提高市场竞争力。</w:t>
      </w:r>
    </w:p>
    <w:p>
      <w:pPr>
        <w:ind w:left="0" w:leftChars="0" w:firstLine="0" w:firstLineChars="0"/>
      </w:pPr>
      <w:r>
        <w:t xml:space="preserve">    本</w:t>
      </w:r>
      <w:r>
        <w:rPr>
          <w:rFonts w:hint="eastAsia"/>
          <w:lang w:val="en-US" w:eastAsia="zh-CN"/>
        </w:rPr>
        <w:t>文模型</w:t>
      </w:r>
      <w:r>
        <w:t>经济理论框架认为经济理论不仅仅是几个宏观经济指标问题，而是</w:t>
      </w:r>
      <w:r>
        <w:rPr>
          <w:rFonts w:hint="eastAsia"/>
          <w:lang w:val="en-US" w:eastAsia="zh-CN"/>
        </w:rPr>
        <w:t>微观</w:t>
      </w:r>
      <w:r>
        <w:t>全面社会制度设计和完善问题。政府的重要目标应该是设计完善公平公正的社会制度以激励各经济主体提高知识、提高市场竞争力，最终提高经济体禀赋，提高社会生产力水平，提高国际竞争力。</w:t>
      </w:r>
    </w:p>
    <w:p>
      <w:pPr>
        <w:ind w:left="0" w:leftChars="0" w:firstLine="0" w:firstLineChars="0"/>
        <w:rPr>
          <w:rFonts w:hint="default"/>
        </w:rPr>
      </w:pPr>
      <w:r>
        <w:t xml:space="preserve">     微观全面良好的社会制度、通货膨胀率低于政策目标b值前提条件下的积极货币和财政政策，管理私人部门资本跨境流动保证经济体财富不流失到国外，这是本文</w:t>
      </w:r>
      <w:r>
        <w:rPr>
          <w:rFonts w:hint="eastAsia"/>
          <w:lang w:val="en-US" w:eastAsia="zh-CN"/>
        </w:rPr>
        <w:t>模型</w:t>
      </w:r>
      <w:r>
        <w:t>经济理论框架的有为和有效政府。</w:t>
      </w:r>
    </w:p>
    <w:p>
      <w:pPr>
        <w:ind w:left="0" w:leftChars="0" w:firstLine="0" w:firstLineChars="0"/>
      </w:pPr>
    </w:p>
    <w:p>
      <w:pPr>
        <w:pStyle w:val="2"/>
      </w:pPr>
      <w:r>
        <w:rPr>
          <w:rFonts w:hint="eastAsia"/>
        </w:rPr>
        <w:t>五、模型对若干重要经济现实的解释</w:t>
      </w:r>
    </w:p>
    <w:p>
      <w:pPr>
        <w:rPr>
          <w:szCs w:val="21"/>
        </w:rPr>
      </w:pPr>
      <w:r>
        <w:rPr>
          <w:rFonts w:hint="eastAsia" w:asciiTheme="minorEastAsia" w:hAnsiTheme="minorEastAsia" w:eastAsiaTheme="minorEastAsia" w:cstheme="minorEastAsia"/>
          <w:szCs w:val="21"/>
        </w:rPr>
        <w:t>经</w:t>
      </w:r>
      <w:r>
        <w:rPr>
          <w:szCs w:val="21"/>
        </w:rPr>
        <w:t>济理论是人们为分析和解释经济发展规律而主观构建的逻辑体系。不同的经济理论学派关于市场经济有不同的基本规律假设，对经济活动有不同的解释视角，下面是本文对若干重要经济现实的解释。</w:t>
      </w:r>
    </w:p>
    <w:p>
      <w:pPr>
        <w:pStyle w:val="4"/>
        <w:ind w:firstLine="420"/>
      </w:pPr>
      <w:r>
        <w:t>（一）不同国家人均GDP有显著差异</w:t>
      </w:r>
    </w:p>
    <w:p>
      <w:pPr>
        <w:rPr>
          <w:szCs w:val="21"/>
        </w:rPr>
      </w:pPr>
      <w:r>
        <w:rPr>
          <w:szCs w:val="21"/>
        </w:rPr>
        <w:t>根据国际货币</w:t>
      </w:r>
      <w:r>
        <w:rPr>
          <w:rFonts w:hint="eastAsia"/>
          <w:szCs w:val="21"/>
          <w:lang w:val="en-US" w:eastAsia="zh-CN"/>
        </w:rPr>
        <w:t>基金</w:t>
      </w:r>
      <w:r>
        <w:rPr>
          <w:szCs w:val="21"/>
        </w:rPr>
        <w:t>组织（IMF）数据，2021年美国人均GDP为69231.40美元/人，中国人均GDP为12358.8美元/人，美国是中国的5.6倍，美国显著高。本文的解释是：根据不变价格生产函数方程（4-13），不同国家经济禀赋</w:t>
      </w:r>
      <w:r>
        <w:rPr>
          <w:bCs/>
          <w:szCs w:val="21"/>
        </w:rPr>
        <w:t xml:space="preserve"> 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）不同，政府投资和货币政策带来的社会需求(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)不同，最后导致</w:t>
      </w:r>
      <w:r>
        <w:rPr>
          <w:szCs w:val="21"/>
        </w:rPr>
        <w:t>不变价格人均社会产出不同。美国科学与技术水平比中国显著高，美国人均人口知识积累，私人部门人均对知识的积累，政府部门人均对知识的积累显著比中国的高，这是美国人均GDP比中国显著高的原因。因此，不同国家不同经济禀赋和不同政府投资和货币政策是造成人均GDP差异的原因。</w:t>
      </w:r>
    </w:p>
    <w:p>
      <w:pPr>
        <w:pStyle w:val="4"/>
        <w:ind w:firstLine="420"/>
      </w:pPr>
      <w:r>
        <w:t>（二）中印经济增长显著差异</w:t>
      </w:r>
    </w:p>
    <w:p>
      <w:pPr>
        <w:rPr>
          <w:szCs w:val="21"/>
        </w:rPr>
      </w:pPr>
      <w:r>
        <w:rPr>
          <w:szCs w:val="21"/>
        </w:rPr>
        <w:t>中国与印度人口规模相近，1979年中国人均GDP是印度的82%，2020年中国人均GDP是印度的5.48倍，这期间中国经济增长率显著比印度高。本文的解释是：（1）中国高考制度和大学扩招培养了大量知识劳动力，提高了人口对知识的积累。（2）政府大量投资经济基础设施和科学与技术研究，提高了政府部门资本积累。（3）政府资本积累提高了社会生产力，构成对私人部门的补贴，提高了私人部门国际竞争力，吸引国际产业转移到中国，这最终提高了私人部门资本积累。上述三点是过去四十多年中国经济增长比印度好的重要原因之一。中国经济增长比印度显著好意味着中国过去的政府投资和货币政策有显著效果。</w:t>
      </w:r>
    </w:p>
    <w:p>
      <w:pPr>
        <w:pStyle w:val="4"/>
        <w:ind w:firstLine="420"/>
      </w:pPr>
      <w:r>
        <w:t>（三）美国、中国大陆和印度自然指数变化</w:t>
      </w:r>
    </w:p>
    <w:p>
      <w:pPr>
        <w:rPr>
          <w:szCs w:val="21"/>
        </w:rPr>
      </w:pPr>
      <w:r>
        <w:rPr>
          <w:szCs w:val="21"/>
        </w:rPr>
        <w:t>自然指数（Nature Index）于2016年首次发布，根据世界各国在全球顶级期刊（《自然》系列、《科学》《细胞》等82种自然科学类期刊）上发表的论文数量计分，反映世界各国当年高质量科学与技术研究产出。2016年至2022年，中国自然指数份额快速增长。科学与技术是经济体禀赋最核心要素之一，中国自然指数份额快速增长为未来经济体禀赋快速增长和经济增长潜力快速增长打下良好的基础。本文对这个经济现实的解释是：中国政府对大学和科研院所大量投入带来中国科学家高质量科研论文快速增加，效果是显著的。</w:t>
      </w:r>
    </w:p>
    <w:p>
      <w:pPr>
        <w:pStyle w:val="5"/>
        <w:ind w:firstLine="360"/>
        <w:rPr>
          <w:rFonts w:eastAsia="宋体"/>
        </w:rPr>
      </w:pPr>
      <w:r>
        <w:rPr>
          <w:rFonts w:hint="eastAsia"/>
        </w:rPr>
        <w:drawing>
          <wp:inline distT="0" distB="0" distL="114300" distR="114300">
            <wp:extent cx="4632325" cy="3581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4637484" cy="3585085"/>
                    </a:xfrm>
                    <a:prstGeom prst="rect">
                      <a:avLst/>
                    </a:prstGeom>
                  </pic:spPr>
                </pic:pic>
              </a:graphicData>
            </a:graphic>
          </wp:inline>
        </w:drawing>
      </w:r>
      <w:r>
        <w:rPr>
          <w:rFonts w:hint="eastAsia"/>
        </w:rPr>
        <w:t xml:space="preserve">图5-1 </w:t>
      </w:r>
      <w:r>
        <w:t>2016</w:t>
      </w:r>
      <w:r>
        <w:rPr>
          <w:rFonts w:hint="eastAsia"/>
        </w:rPr>
        <w:t>至2</w:t>
      </w:r>
      <w:r>
        <w:t>022</w:t>
      </w:r>
      <w:r>
        <w:rPr>
          <w:rFonts w:hint="eastAsia"/>
        </w:rPr>
        <w:t>年美国、中国、印度自然指数图</w:t>
      </w:r>
    </w:p>
    <w:p>
      <w:pPr>
        <w:pStyle w:val="4"/>
        <w:ind w:firstLine="420"/>
      </w:pPr>
      <w:r>
        <w:rPr>
          <w:rFonts w:hint="eastAsia"/>
          <w:lang w:bidi="ar"/>
        </w:rPr>
        <w:t>（</w:t>
      </w:r>
      <w:r>
        <w:rPr>
          <w:lang w:bidi="ar"/>
        </w:rPr>
        <w:t>四）发达国家政府投资对社会产出，私人投资和就业的影响</w:t>
      </w:r>
    </w:p>
    <w:p>
      <w:pPr>
        <w:rPr>
          <w:szCs w:val="21"/>
          <w:lang w:bidi="ar"/>
        </w:rPr>
      </w:pPr>
      <w:r>
        <w:rPr>
          <w:szCs w:val="21"/>
          <w:lang w:bidi="ar"/>
        </w:rPr>
        <w:fldChar w:fldCharType="begin"/>
      </w:r>
      <w:r>
        <w:rPr>
          <w:szCs w:val="21"/>
          <w:lang w:bidi="ar"/>
        </w:rPr>
        <w:instrText xml:space="preserve"> ADDIN EN.CITE &lt;EndNote&gt;&lt;Cite AuthorYear="1"&gt;&lt;Author&gt;Adb&lt;/Author&gt;&lt;Year&gt;2016&lt;/Year&gt;&lt;RecNum&gt;941&lt;/RecNum&gt;&lt;DisplayText&gt;Adb et al.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rPr>
          <w:szCs w:val="21"/>
          <w:lang w:bidi="ar"/>
        </w:rPr>
        <w:fldChar w:fldCharType="separate"/>
      </w:r>
      <w:r>
        <w:rPr>
          <w:szCs w:val="21"/>
          <w:lang w:bidi="ar"/>
        </w:rPr>
        <w:t>Adb et al. (2016)</w:t>
      </w:r>
      <w:r>
        <w:rPr>
          <w:szCs w:val="21"/>
          <w:lang w:bidi="ar"/>
        </w:rPr>
        <w:fldChar w:fldCharType="end"/>
      </w:r>
      <w:r>
        <w:rPr>
          <w:szCs w:val="21"/>
          <w:lang w:bidi="ar"/>
        </w:rPr>
        <w:t>用17个OECD国家1985-2013期间数据分析政府公共投资的效应，其结论是政府投资无论是长期还是短期都增加社会产出，激发而不是抑制私人部门投资，并减少社会失业。本文的解释是：通货膨胀率在政策目标范围内的条件下，政府投资对私人部门投资是刺激效应而不是挤出效应，政府投资提高社会产出。</w:t>
      </w:r>
    </w:p>
    <w:p>
      <w:pPr>
        <w:rPr>
          <w:szCs w:val="21"/>
          <w:lang w:bidi="ar"/>
        </w:rPr>
      </w:pPr>
      <w:r>
        <w:rPr>
          <w:szCs w:val="21"/>
          <w:lang w:bidi="ar"/>
        </w:rPr>
        <w:t xml:space="preserve"> （五）中国经济增长平稳</w:t>
      </w:r>
    </w:p>
    <w:p>
      <w:pPr>
        <w:rPr>
          <w:szCs w:val="21"/>
          <w:lang w:bidi="ar"/>
        </w:rPr>
      </w:pPr>
      <w:r>
        <w:rPr>
          <w:szCs w:val="21"/>
          <w:lang w:bidi="ar"/>
        </w:rPr>
        <w:t>由图5-2可知，1978年以来，中国经济增长平稳，从未爆发金融危机和经济危机。中国实质上已货币机构政府化，在基本保证通货膨胀率在政策目标范围内的前提条件下，政府大量投资科学与技术研究、经济基础设施、学校和医院等社会公共服务机构等，有效降低了私人部门的外部成本，提高了私人部门的国际竞争力，让先进国际产业转移到中国，中国经济因此不仅实现了比较高的增长速度还从未爆发金融危</w:t>
      </w:r>
      <w:r>
        <w:rPr>
          <w:rFonts w:ascii="宋体" w:hAnsi="宋体" w:cs="宋体"/>
          <w:szCs w:val="21"/>
          <w:lang w:bidi="ar"/>
        </w:rPr>
        <w:drawing>
          <wp:inline distT="0" distB="0" distL="114300" distR="114300">
            <wp:extent cx="5271770" cy="4075430"/>
            <wp:effectExtent l="0" t="0" r="508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5271770" cy="4075430"/>
                    </a:xfrm>
                    <a:prstGeom prst="rect">
                      <a:avLst/>
                    </a:prstGeom>
                  </pic:spPr>
                </pic:pic>
              </a:graphicData>
            </a:graphic>
          </wp:inline>
        </w:drawing>
      </w:r>
      <w:r>
        <w:rPr>
          <w:szCs w:val="21"/>
          <w:lang w:bidi="ar"/>
        </w:rPr>
        <w:t>机和经济危机。</w:t>
      </w:r>
    </w:p>
    <w:p>
      <w:pPr>
        <w:rPr>
          <w:rFonts w:ascii="宋体" w:hAnsi="宋体" w:cs="宋体"/>
          <w:szCs w:val="21"/>
          <w:lang w:bidi="ar"/>
        </w:rPr>
      </w:pPr>
    </w:p>
    <w:p>
      <w:pPr>
        <w:pStyle w:val="5"/>
        <w:rPr>
          <w:lang w:bidi="ar"/>
        </w:rPr>
      </w:pPr>
      <w:r>
        <w:rPr>
          <w:rFonts w:hint="eastAsia"/>
          <w:sz w:val="21"/>
          <w:lang w:bidi="ar"/>
        </w:rPr>
        <w:t>图5-2</w:t>
      </w:r>
      <w:r>
        <w:rPr>
          <w:lang w:bidi="ar"/>
        </w:rPr>
        <w:t xml:space="preserve"> 1979</w:t>
      </w:r>
      <w:r>
        <w:rPr>
          <w:rFonts w:hint="eastAsia"/>
          <w:lang w:bidi="ar"/>
        </w:rPr>
        <w:t>至2</w:t>
      </w:r>
      <w:r>
        <w:rPr>
          <w:lang w:bidi="ar"/>
        </w:rPr>
        <w:t>020</w:t>
      </w:r>
      <w:r>
        <w:rPr>
          <w:rFonts w:hint="eastAsia"/>
          <w:lang w:bidi="ar"/>
        </w:rPr>
        <w:t>年各</w:t>
      </w:r>
      <w:r>
        <w:rPr>
          <w:rFonts w:hint="eastAsia"/>
          <w:lang w:val="en-US" w:eastAsia="zh-CN" w:bidi="ar"/>
        </w:rPr>
        <w:t>类</w:t>
      </w:r>
      <w:r>
        <w:rPr>
          <w:rFonts w:hint="eastAsia"/>
          <w:lang w:bidi="ar"/>
        </w:rPr>
        <w:t>经济增长率</w:t>
      </w:r>
    </w:p>
    <w:p>
      <w:pPr>
        <w:ind w:firstLine="0" w:firstLineChars="0"/>
        <w:rPr>
          <w:lang w:bidi="ar"/>
        </w:rPr>
      </w:pPr>
    </w:p>
    <w:p>
      <w:pPr>
        <w:pStyle w:val="2"/>
      </w:pPr>
      <w:r>
        <w:rPr>
          <w:rFonts w:hint="eastAsia"/>
        </w:rPr>
        <w:t>六、模型对若干重要理论问题的解释</w:t>
      </w:r>
    </w:p>
    <w:p>
      <w:pPr>
        <w:widowControl/>
        <w:rPr>
          <w:rFonts w:ascii="宋体" w:hAnsi="宋体" w:cs="宋体"/>
        </w:rPr>
      </w:pPr>
      <w:r>
        <w:rPr>
          <w:rFonts w:ascii="宋体" w:hAnsi="宋体" w:cs="宋体"/>
        </w:rPr>
        <w:t>本文模型对若干重要经济理论问题的解释与主流经济理论模型有比较大的差异。</w:t>
      </w:r>
    </w:p>
    <w:p>
      <w:pPr>
        <w:widowControl/>
        <w:rPr>
          <w:rFonts w:ascii="宋体" w:hAnsi="宋体" w:cs="宋体"/>
        </w:rPr>
      </w:pPr>
      <w:r>
        <w:rPr>
          <w:rFonts w:hint="eastAsia" w:ascii="宋体" w:hAnsi="宋体" w:cs="宋体"/>
        </w:rPr>
        <w:t>（一）</w:t>
      </w:r>
      <w:r>
        <w:rPr>
          <w:rFonts w:hint="eastAsia" w:ascii="宋体" w:hAnsi="宋体" w:cs="宋体"/>
          <w:lang w:val="en-US" w:eastAsia="zh-CN"/>
        </w:rPr>
        <w:t>金融危机</w:t>
      </w:r>
      <w:r>
        <w:rPr>
          <w:rFonts w:hint="eastAsia" w:ascii="微软雅黑" w:hAnsi="微软雅黑" w:eastAsia="微软雅黑" w:cs="微软雅黑"/>
          <w:lang w:val="en-US" w:eastAsia="zh-CN"/>
        </w:rPr>
        <w:t>、</w:t>
      </w:r>
      <w:r>
        <w:rPr>
          <w:rFonts w:hint="eastAsia" w:ascii="宋体" w:hAnsi="宋体" w:cs="宋体"/>
          <w:lang w:val="en-US" w:eastAsia="zh-CN"/>
        </w:rPr>
        <w:t>经济危机和</w:t>
      </w:r>
      <w:r>
        <w:rPr>
          <w:rFonts w:hint="eastAsia" w:ascii="宋体" w:hAnsi="宋体" w:cs="宋体"/>
        </w:rPr>
        <w:t>经济波动问题</w:t>
      </w:r>
    </w:p>
    <w:p>
      <w:pPr>
        <w:widowControl/>
        <w:rPr>
          <w:rFonts w:ascii="宋体" w:hAnsi="宋体" w:cs="宋体"/>
        </w:rPr>
      </w:pPr>
      <w:r>
        <w:rPr>
          <w:rFonts w:ascii="宋体" w:hAnsi="宋体" w:cs="宋体"/>
        </w:rPr>
        <w:t>新古典学派认为理想条件下自由市场经济能实现最优化发展</w:t>
      </w:r>
      <w:r>
        <w:rPr>
          <w:rFonts w:hint="eastAsia" w:ascii="宋体" w:hAnsi="宋体" w:cs="宋体"/>
        </w:rPr>
        <w:t>，</w:t>
      </w:r>
      <w:r>
        <w:rPr>
          <w:rFonts w:ascii="宋体" w:hAnsi="宋体" w:cs="宋体"/>
        </w:rPr>
        <w:t>不会出现金融危机和经济危机等经济波动，是现实的信息不完美，信息传导摩擦和政府政策导致了金融危机和经济危机等</w:t>
      </w:r>
      <w:r>
        <w:rPr>
          <w:rFonts w:hint="eastAsia" w:ascii="宋体" w:hAnsi="宋体" w:cs="宋体"/>
        </w:rPr>
        <w:t>经济波动</w:t>
      </w:r>
      <w:r>
        <w:rPr>
          <w:rFonts w:ascii="宋体" w:hAnsi="宋体" w:cs="宋体"/>
        </w:rPr>
        <w:t>。</w:t>
      </w:r>
    </w:p>
    <w:p>
      <w:pPr>
        <w:widowControl/>
        <w:rPr>
          <w:rFonts w:ascii="宋体" w:hAnsi="宋体" w:cs="宋体"/>
        </w:rPr>
      </w:pPr>
      <w:r>
        <w:rPr>
          <w:rFonts w:ascii="宋体" w:hAnsi="宋体" w:cs="宋体"/>
        </w:rPr>
        <w:t>本文则认为自由市场经济内生不能实现</w:t>
      </w:r>
      <w:r>
        <w:rPr>
          <w:rFonts w:hint="eastAsia" w:ascii="宋体" w:hAnsi="宋体" w:cs="宋体"/>
        </w:rPr>
        <w:t>最</w:t>
      </w:r>
      <w:r>
        <w:rPr>
          <w:rFonts w:ascii="宋体" w:hAnsi="宋体" w:cs="宋体"/>
        </w:rPr>
        <w:t>优化发展，商业银行由于债权期限错配爆发金融危机和经济危机是必然；自由市场经济将出现劳动力剩余和资本积累未被充分利用。政府通过政府化的货币体系可以避免金融危机，政府投资和货币政策等可以提高劳动力利用率，平滑经济波动和提高经济体禀赋。</w:t>
      </w:r>
    </w:p>
    <w:p>
      <w:pPr>
        <w:widowControl/>
        <w:rPr>
          <w:rFonts w:ascii="宋体" w:hAnsi="宋体" w:cs="宋体"/>
        </w:rPr>
      </w:pPr>
      <w:r>
        <w:rPr>
          <w:rFonts w:hint="eastAsia" w:ascii="宋体" w:hAnsi="宋体" w:cs="宋体"/>
        </w:rPr>
        <w:t>（二）经济产出的短期收敛或上限问题</w:t>
      </w:r>
    </w:p>
    <w:p>
      <w:pPr>
        <w:widowControl/>
        <w:rPr>
          <w:rFonts w:ascii="宋体" w:hAnsi="宋体" w:cs="宋体"/>
        </w:rPr>
      </w:pPr>
      <w:r>
        <w:rPr>
          <w:rFonts w:hint="eastAsia" w:ascii="宋体" w:hAnsi="宋体" w:cs="宋体"/>
        </w:rPr>
        <w:t>新古典学派认为自由经济活动将实现竞争性</w:t>
      </w:r>
      <w:r>
        <w:rPr>
          <w:rFonts w:ascii="宋体" w:hAnsi="宋体" w:cs="宋体"/>
        </w:rPr>
        <w:t>均衡</w:t>
      </w:r>
      <w:r>
        <w:rPr>
          <w:rFonts w:hint="eastAsia" w:ascii="宋体" w:hAnsi="宋体" w:cs="宋体"/>
        </w:rPr>
        <w:t>，</w:t>
      </w:r>
      <w:r>
        <w:rPr>
          <w:rFonts w:ascii="宋体" w:hAnsi="宋体" w:cs="宋体"/>
        </w:rPr>
        <w:t>社会</w:t>
      </w:r>
      <w:r>
        <w:rPr>
          <w:rFonts w:hint="eastAsia" w:ascii="宋体" w:hAnsi="宋体" w:cs="宋体"/>
        </w:rPr>
        <w:t>产出是收敛的。</w:t>
      </w:r>
    </w:p>
    <w:p>
      <w:pPr>
        <w:widowControl/>
        <w:rPr>
          <w:rFonts w:ascii="宋体" w:hAnsi="宋体" w:cs="宋体"/>
        </w:rPr>
      </w:pPr>
      <w:r>
        <w:rPr>
          <w:rFonts w:ascii="宋体" w:hAnsi="宋体" w:cs="宋体"/>
        </w:rPr>
        <w:t>本文认为政府投资和货币政策等与通货膨胀率之间存在一种约束关系，政府投资和货币政策等超过一定范围将引发通货膨胀，任一特定时期经济产出是有上限的。</w:t>
      </w:r>
    </w:p>
    <w:p>
      <w:pPr>
        <w:widowControl/>
        <w:rPr>
          <w:rFonts w:ascii="宋体" w:hAnsi="宋体" w:cs="宋体"/>
        </w:rPr>
      </w:pPr>
      <w:r>
        <w:rPr>
          <w:rFonts w:hint="eastAsia" w:ascii="宋体" w:hAnsi="宋体" w:cs="宋体"/>
        </w:rPr>
        <w:t>（三）经济产出的长期单调增长问题。</w:t>
      </w:r>
    </w:p>
    <w:p>
      <w:pPr>
        <w:widowControl/>
        <w:rPr>
          <w:rFonts w:ascii="宋体" w:hAnsi="宋体" w:cs="宋体"/>
        </w:rPr>
      </w:pPr>
      <w:r>
        <w:rPr>
          <w:rFonts w:ascii="宋体" w:hAnsi="宋体" w:cs="宋体"/>
        </w:rPr>
        <w:t>罗默在索洛模型的基础上假设私人部门的研发投入将带来产出的规模递增，但对研发投入的产出仍然是规模递减。这既保证了新古典模型的短期收敛性，又解释了以研发为驱动力的美国经济的长期单调持续增长问题。</w:t>
      </w:r>
    </w:p>
    <w:p>
      <w:pPr>
        <w:rPr>
          <w:rFonts w:ascii="宋体" w:hAnsi="宋体" w:cs="宋体"/>
        </w:rPr>
      </w:pPr>
      <w:r>
        <w:rPr>
          <w:rFonts w:ascii="宋体" w:hAnsi="宋体" w:cs="宋体"/>
        </w:rPr>
        <w:t>本文认为新知识带来新产品或降低老产品成本推动经济单调持续增长，即知识增长推动经济持续单调增长</w:t>
      </w:r>
      <w:r>
        <w:rPr>
          <w:rFonts w:hint="eastAsia" w:ascii="宋体" w:hAnsi="宋体" w:cs="宋体"/>
        </w:rPr>
        <w:t>，经济增长无边界</w:t>
      </w:r>
      <w:r>
        <w:rPr>
          <w:rFonts w:ascii="宋体" w:hAnsi="宋体" w:cs="宋体"/>
        </w:rPr>
        <w:t>。</w:t>
      </w:r>
    </w:p>
    <w:p>
      <w:pPr>
        <w:rPr>
          <w:rFonts w:ascii="宋体" w:hAnsi="宋体" w:cs="宋体"/>
        </w:rPr>
      </w:pPr>
      <w:r>
        <w:rPr>
          <w:rFonts w:hint="eastAsia" w:ascii="宋体" w:hAnsi="宋体" w:cs="宋体"/>
        </w:rPr>
        <w:t>（四）</w:t>
      </w:r>
      <w:r>
        <w:rPr>
          <w:rFonts w:ascii="宋体" w:hAnsi="宋体" w:cs="宋体"/>
        </w:rPr>
        <w:t>世界各国贫富差距不收敛</w:t>
      </w:r>
      <w:r>
        <w:rPr>
          <w:rFonts w:hint="eastAsia" w:ascii="宋体" w:hAnsi="宋体" w:cs="宋体"/>
        </w:rPr>
        <w:t>问题</w:t>
      </w:r>
    </w:p>
    <w:p>
      <w:pPr>
        <w:rPr>
          <w:rFonts w:ascii="宋体" w:hAnsi="宋体" w:cs="宋体"/>
        </w:rPr>
      </w:pPr>
      <w:r>
        <w:rPr>
          <w:rFonts w:hint="eastAsia" w:ascii="宋体" w:hAnsi="宋体" w:cs="宋体"/>
        </w:rPr>
        <w:t>新古典罗默模型认为</w:t>
      </w:r>
      <w:r>
        <w:rPr>
          <w:rFonts w:ascii="宋体" w:hAnsi="宋体" w:cs="宋体"/>
        </w:rPr>
        <w:t>发达国家与发展中国家的</w:t>
      </w:r>
      <w:r>
        <w:rPr>
          <w:rFonts w:hint="eastAsia" w:ascii="宋体" w:hAnsi="宋体" w:cs="宋体"/>
        </w:rPr>
        <w:t>人均</w:t>
      </w:r>
      <w:r>
        <w:rPr>
          <w:rFonts w:ascii="宋体" w:hAnsi="宋体" w:cs="宋体"/>
        </w:rPr>
        <w:t>产出</w:t>
      </w:r>
      <w:r>
        <w:rPr>
          <w:rFonts w:hint="eastAsia" w:ascii="宋体" w:hAnsi="宋体" w:cs="宋体"/>
        </w:rPr>
        <w:t>差距</w:t>
      </w:r>
      <w:r>
        <w:rPr>
          <w:rFonts w:ascii="宋体" w:hAnsi="宋体" w:cs="宋体"/>
        </w:rPr>
        <w:t>越来越大，</w:t>
      </w:r>
      <w:r>
        <w:rPr>
          <w:rFonts w:hint="eastAsia" w:ascii="宋体" w:hAnsi="宋体" w:cs="宋体"/>
        </w:rPr>
        <w:t>原因在于发达国家与发展中国家科学与技术水平差距越来越大，发达国家与发展中国家的经济禀赋差距越来越大。本文的主张与罗默大致一致，差异在于罗默认为科学与技术是私人部门的内生变量，而本文则认为科学与技术是所有经济主体的内生变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w:t>
      </w:r>
      <w:r>
        <w:rPr>
          <w:rFonts w:asciiTheme="minorEastAsia" w:hAnsiTheme="minorEastAsia" w:eastAsiaTheme="minorEastAsia" w:cstheme="minorEastAsia"/>
          <w:szCs w:val="21"/>
        </w:rPr>
        <w:t>高科技寡头企业资本回报高于社会平均利率问题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按新古典一般均衡理论，企业的资本回报率将与社会平均利率实现均衡。但美国的微软等科技巨头其资本回报率比美国市场利率显著高，为此鲍勃和曼昆在索洛新古典模型的基础上引入企业市场力假设，认为是企业的市场力让企业获得了高于社会平均市场利率的收益。</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本文认为，伯特兰德竞争是企业竞争的主要形式，优势企业对竞争对手的知识优势是获得利润的重要来源。知识优势越大，资本回报越高。美国高科技巨头因为比竞争对手有巨大的研发优势而获得远高于社会平均市场利率的资本回报。</w:t>
      </w:r>
    </w:p>
    <w:p>
      <w:pPr>
        <w:widowControl/>
        <w:rPr>
          <w:rFonts w:ascii="宋体" w:hAnsi="宋体" w:cs="宋体"/>
        </w:rPr>
      </w:pPr>
      <w:r>
        <w:rPr>
          <w:rFonts w:hint="eastAsia" w:ascii="宋体" w:hAnsi="宋体" w:cs="宋体"/>
        </w:rPr>
        <w:t>（六）汇率稳定问题</w:t>
      </w:r>
    </w:p>
    <w:p>
      <w:pPr>
        <w:widowControl/>
        <w:rPr>
          <w:rFonts w:ascii="宋体" w:hAnsi="宋体" w:cs="宋体"/>
        </w:rPr>
      </w:pPr>
      <w:r>
        <w:rPr>
          <w:rFonts w:ascii="宋体" w:hAnsi="宋体" w:cs="宋体"/>
        </w:rPr>
        <w:t>格鲁克曼认为两国货币之间的比价汇率存在稳定均衡解。本文认为汇率是投资品价格没有稳定均衡解，主张通过央行在国际外汇市场干预实现稳定汇率，保证国际贸易顺利进行。</w:t>
      </w:r>
    </w:p>
    <w:p>
      <w:pPr>
        <w:widowControl/>
        <w:rPr>
          <w:rFonts w:ascii="宋体" w:hAnsi="宋体" w:cs="宋体"/>
        </w:rPr>
      </w:pPr>
      <w:r>
        <w:rPr>
          <w:rFonts w:hint="eastAsia" w:ascii="宋体" w:hAnsi="宋体" w:cs="宋体"/>
        </w:rPr>
        <w:t>（七）</w:t>
      </w:r>
      <w:r>
        <w:rPr>
          <w:rFonts w:ascii="宋体" w:hAnsi="宋体" w:cs="宋体"/>
        </w:rPr>
        <w:t>私人部门跨境资本流动的管理问题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新古典认为单个经济主体的优化就是国家经济体和全球整体的优化。本文认为私人部门单个经济主体的利益和国家整体利益可能不一致，主张对私人部门跨境资本流动和对外投资及融资进行管理，保证一个国家的财富不流失到国外。</w:t>
      </w:r>
    </w:p>
    <w:p>
      <w:pPr>
        <w:numPr>
          <w:ilvl w:val="0"/>
          <w:numId w:val="4"/>
        </w:numPr>
        <w:ind w:left="420" w:leftChars="0" w:firstLine="0" w:firstLineChars="0"/>
        <w:rPr>
          <w:rFonts w:hint="eastAsia" w:ascii="宋体" w:hAnsi="宋体" w:cs="宋体"/>
          <w:lang w:val="en-US" w:eastAsia="zh-CN"/>
        </w:rPr>
      </w:pPr>
      <w:r>
        <w:rPr>
          <w:rFonts w:hint="eastAsia" w:ascii="宋体" w:hAnsi="宋体" w:cs="宋体"/>
          <w:lang w:val="en-US" w:eastAsia="zh-CN"/>
        </w:rPr>
        <w:t>社会制度设计和完善问题</w:t>
      </w:r>
    </w:p>
    <w:p>
      <w:pPr>
        <w:numPr>
          <w:ilvl w:val="0"/>
          <w:numId w:val="0"/>
        </w:numPr>
        <w:ind w:firstLine="420" w:firstLineChars="200"/>
        <w:rPr>
          <w:rFonts w:hint="default" w:ascii="宋体" w:hAnsi="宋体" w:cs="宋体"/>
          <w:lang w:val="en-US" w:eastAsia="zh-CN"/>
        </w:rPr>
      </w:pPr>
      <w:r>
        <w:rPr>
          <w:rFonts w:hint="eastAsia" w:ascii="宋体" w:hAnsi="宋体" w:cs="宋体"/>
          <w:lang w:val="en-US" w:eastAsia="zh-CN"/>
        </w:rPr>
        <w:t>新古典学派和凯恩斯学派各类模型一般不涉及社会制度设计和完善问题，本文模型认为这是经济理论最重要的问题之一。本文模型认为，公平公正激励各经济主体提高知识以提高市场竞争力的社会制度设计和完善是经济理论研究的最重要内容之一。</w:t>
      </w:r>
    </w:p>
    <w:p>
      <w:pPr>
        <w:pStyle w:val="2"/>
        <w:rPr>
          <w:rFonts w:hint="eastAsia" w:eastAsia="宋体"/>
          <w:lang w:eastAsia="zh-CN"/>
        </w:rPr>
      </w:pPr>
      <w:r>
        <w:rPr>
          <w:rFonts w:hint="eastAsia"/>
        </w:rPr>
        <w:t>七、</w:t>
      </w:r>
      <w:r>
        <w:rPr>
          <w:rFonts w:hint="default"/>
        </w:rPr>
        <w:t>一个新的经济理论框架</w:t>
      </w:r>
      <w:r>
        <w:rPr>
          <w:rFonts w:hint="eastAsia"/>
          <w:lang w:eastAsia="zh-CN"/>
        </w:rPr>
        <w:t>（</w:t>
      </w:r>
      <w:r>
        <w:rPr>
          <w:rFonts w:hint="eastAsia"/>
          <w:lang w:val="en-US" w:eastAsia="zh-CN"/>
        </w:rPr>
        <w:t>总结</w:t>
      </w:r>
      <w:r>
        <w:rPr>
          <w:rFonts w:hint="eastAsia"/>
          <w:lang w:eastAsia="zh-CN"/>
        </w:rPr>
        <w:t>）</w:t>
      </w:r>
    </w:p>
    <w:p>
      <w:pPr>
        <w:widowControl/>
        <w:ind w:left="0" w:leftChars="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经济理论是人们为分析和解释经济发展规律而主观构建的逻辑体系。不同的经济理论学派关于市场经济的基本规律假设不同，对经济活动规律的解释视角不同，构成不同的经济理论框架。</w:t>
      </w:r>
    </w:p>
    <w:p>
      <w:pPr>
        <w:widowControl/>
        <w:ind w:left="0" w:leftChars="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）新古典学派的经济理论框架是索洛增长模型，认为劳动力与资本积累的比例经过短期震荡后中长期将实现稳定均衡，达到最优值，实现劳动力和资本积累全利用。</w:t>
      </w:r>
    </w:p>
    <w:p>
      <w:pPr>
        <w:widowControl/>
        <w:ind w:left="0" w:leftChars="0"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凯恩斯学派的经济理论框架是希克斯的IS-LM模型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认为投资与利率</w:t>
      </w:r>
      <w:r>
        <w:rPr>
          <w:rFonts w:hint="eastAsia" w:ascii="微软雅黑" w:hAnsi="微软雅黑" w:eastAsia="微软雅黑" w:cs="微软雅黑"/>
        </w:rPr>
        <w:t>、</w:t>
      </w:r>
      <w:r>
        <w:rPr>
          <w:rFonts w:hint="eastAsia" w:asciiTheme="minorEastAsia" w:hAnsiTheme="minorEastAsia" w:eastAsiaTheme="minorEastAsia" w:cstheme="minorEastAsia"/>
        </w:rPr>
        <w:t>货币供应量与利率这两条</w:t>
      </w:r>
      <w:r>
        <w:rPr>
          <w:rFonts w:hint="eastAsia" w:asciiTheme="minorEastAsia" w:hAnsiTheme="minorEastAsia" w:eastAsiaTheme="minorEastAsia" w:cstheme="minorEastAsia"/>
          <w:lang w:val="en-US" w:eastAsia="zh-CN"/>
        </w:rPr>
        <w:t>关系</w:t>
      </w:r>
      <w:r>
        <w:rPr>
          <w:rFonts w:hint="eastAsia" w:asciiTheme="minorEastAsia" w:hAnsiTheme="minorEastAsia" w:eastAsiaTheme="minorEastAsia" w:cstheme="minorEastAsia"/>
        </w:rPr>
        <w:t>曲线的交叉点是均衡利率点，均衡利率点</w:t>
      </w:r>
      <w:r>
        <w:rPr>
          <w:rFonts w:hint="eastAsia" w:asciiTheme="minorEastAsia" w:hAnsiTheme="minorEastAsia" w:eastAsiaTheme="minorEastAsia" w:cstheme="minorEastAsia"/>
          <w:lang w:val="en-US" w:eastAsia="zh-CN"/>
        </w:rPr>
        <w:t>对应的是</w:t>
      </w:r>
      <w:r>
        <w:rPr>
          <w:rFonts w:hint="eastAsia" w:asciiTheme="minorEastAsia" w:hAnsiTheme="minorEastAsia" w:eastAsiaTheme="minorEastAsia" w:cstheme="minorEastAsia"/>
        </w:rPr>
        <w:t>均衡的社会产出。均衡有优化稳定的含义。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本文的经济理论框架由关于市场经济的三个基本规律假设而认为名义价格社会产出与货币供应量增长率、不变价格社会产出与货币供应量增长率和通货膨胀率与货币供应量增长率这三条关系曲线存在图4-2所示的</w:t>
      </w:r>
      <w:r>
        <w:rPr>
          <w:rFonts w:hint="eastAsia" w:asciiTheme="minorEastAsia" w:hAnsiTheme="minorEastAsia" w:eastAsiaTheme="minorEastAsia" w:cstheme="minorEastAsia"/>
          <w:lang w:val="en-US" w:eastAsia="zh-CN"/>
        </w:rPr>
        <w:t>特性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这给政府管理市场经济提供了具体的操作指引：保证通货膨胀率低于政策目标b值的条件下，用货币政策和政府投资及支出最大程度提高社会需求以</w:t>
      </w:r>
      <w:r>
        <w:rPr>
          <w:rFonts w:hint="eastAsia" w:asciiTheme="minorEastAsia" w:hAnsiTheme="minorEastAsia" w:eastAsiaTheme="minorEastAsia" w:cstheme="minorEastAsia"/>
          <w:lang w:val="en-US" w:eastAsia="zh-CN"/>
        </w:rPr>
        <w:t>改善</w:t>
      </w:r>
      <w:r>
        <w:rPr>
          <w:rFonts w:hint="eastAsia" w:asciiTheme="minorEastAsia" w:hAnsiTheme="minorEastAsia" w:eastAsiaTheme="minorEastAsia" w:cstheme="minorEastAsia"/>
        </w:rPr>
        <w:t>民众</w:t>
      </w:r>
      <w:r>
        <w:rPr>
          <w:rFonts w:hint="eastAsia" w:asciiTheme="minorEastAsia" w:hAnsiTheme="minorEastAsia" w:eastAsiaTheme="minorEastAsia" w:cstheme="minorEastAsia"/>
          <w:lang w:val="en-US" w:eastAsia="zh-CN"/>
        </w:rPr>
        <w:t>生活</w:t>
      </w:r>
      <w:r>
        <w:rPr>
          <w:rFonts w:hint="eastAsia" w:ascii="微软雅黑" w:hAnsi="微软雅黑" w:eastAsia="微软雅黑" w:cs="微软雅黑"/>
        </w:rPr>
        <w:t>、</w:t>
      </w:r>
      <w:r>
        <w:rPr>
          <w:rFonts w:hint="eastAsia" w:asciiTheme="minorEastAsia" w:hAnsiTheme="minorEastAsia" w:eastAsiaTheme="minorEastAsia" w:cstheme="minorEastAsia"/>
        </w:rPr>
        <w:t>提高经济体禀赋</w:t>
      </w:r>
      <w:r>
        <w:rPr>
          <w:rFonts w:hint="eastAsia" w:ascii="微软雅黑" w:hAnsi="微软雅黑" w:eastAsia="微软雅黑" w:cs="微软雅黑"/>
        </w:rPr>
        <w:t>、</w:t>
      </w:r>
      <w:r>
        <w:rPr>
          <w:rFonts w:hint="eastAsia" w:asciiTheme="minorEastAsia" w:hAnsiTheme="minorEastAsia" w:eastAsiaTheme="minorEastAsia" w:cstheme="minorEastAsia"/>
        </w:rPr>
        <w:t>提高经济</w:t>
      </w:r>
      <w:r>
        <w:rPr>
          <w:rFonts w:hint="eastAsia" w:asciiTheme="minorEastAsia" w:hAnsiTheme="minorEastAsia" w:eastAsiaTheme="minorEastAsia" w:cstheme="minorEastAsia"/>
          <w:lang w:val="en-US" w:eastAsia="zh-CN"/>
        </w:rPr>
        <w:t>体</w:t>
      </w:r>
      <w:r>
        <w:rPr>
          <w:rFonts w:hint="eastAsia" w:asciiTheme="minorEastAsia" w:hAnsiTheme="minorEastAsia" w:eastAsiaTheme="minorEastAsia" w:cstheme="minorEastAsia"/>
        </w:rPr>
        <w:t>可持续增长潜力。</w:t>
      </w:r>
      <w:r>
        <w:t>管理私人资本跨境流动、对外投资和融资是</w:t>
      </w:r>
      <w:r>
        <w:rPr>
          <w:rFonts w:hint="eastAsia"/>
          <w:lang w:val="en-US" w:eastAsia="zh-CN"/>
        </w:rPr>
        <w:t>模型经济体赖以建立和存在的</w:t>
      </w:r>
      <w:r>
        <w:t>前提。</w:t>
      </w:r>
    </w:p>
    <w:p>
      <w:pPr>
        <w:widowControl/>
        <w:ind w:left="0" w:leftChars="0"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1921年至1939年长达19年的时间里，英国失业率始终维持10%以上。基于这个经济现实，本文认为新古典学派和凯恩斯学派经济理论框架关于市场经济存在</w:t>
      </w:r>
      <w:r>
        <w:rPr>
          <w:rFonts w:hint="eastAsia" w:asciiTheme="minorEastAsia" w:hAnsiTheme="minorEastAsia" w:eastAsiaTheme="minorEastAsia" w:cstheme="minorEastAsia"/>
          <w:lang w:val="en-US" w:eastAsia="zh-CN"/>
        </w:rPr>
        <w:t>优化</w:t>
      </w:r>
      <w:r>
        <w:rPr>
          <w:rFonts w:hint="eastAsia" w:asciiTheme="minorEastAsia" w:hAnsiTheme="minorEastAsia" w:eastAsiaTheme="minorEastAsia" w:cstheme="minorEastAsia"/>
        </w:rPr>
        <w:t>均衡的</w:t>
      </w:r>
      <w:r>
        <w:rPr>
          <w:rFonts w:hint="eastAsia" w:asciiTheme="minorEastAsia" w:hAnsiTheme="minorEastAsia" w:eastAsiaTheme="minorEastAsia" w:cstheme="minorEastAsia"/>
          <w:lang w:val="en-US" w:eastAsia="zh-CN"/>
        </w:rPr>
        <w:t>假设过强</w:t>
      </w:r>
      <w:r>
        <w:rPr>
          <w:rFonts w:hint="eastAsia" w:asciiTheme="minorEastAsia" w:hAnsiTheme="minorEastAsia" w:eastAsiaTheme="minorEastAsia" w:cstheme="minorEastAsia"/>
        </w:rPr>
        <w:t>。</w:t>
      </w:r>
    </w:p>
    <w:p>
      <w:pPr>
        <w:ind w:firstLine="422"/>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六</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本文</w:t>
      </w:r>
      <w:r>
        <w:rPr>
          <w:rFonts w:hint="eastAsia" w:asciiTheme="minorEastAsia" w:hAnsiTheme="minorEastAsia" w:eastAsiaTheme="minorEastAsia" w:cstheme="minorEastAsia"/>
          <w:lang w:val="en-US" w:eastAsia="zh-CN"/>
        </w:rPr>
        <w:t>模型</w:t>
      </w:r>
      <w:r>
        <w:rPr>
          <w:rFonts w:hint="eastAsia" w:asciiTheme="minorEastAsia" w:hAnsiTheme="minorEastAsia" w:eastAsiaTheme="minorEastAsia" w:cstheme="minorEastAsia"/>
        </w:rPr>
        <w:t>的经济理论框架对中国过去四十多年</w:t>
      </w:r>
      <w:r>
        <w:rPr>
          <w:rFonts w:hint="eastAsia" w:asciiTheme="minorEastAsia" w:hAnsiTheme="minorEastAsia" w:eastAsiaTheme="minorEastAsia" w:cstheme="minorEastAsia"/>
          <w:lang w:val="en-US" w:eastAsia="zh-CN"/>
        </w:rPr>
        <w:t>来</w:t>
      </w:r>
      <w:r>
        <w:rPr>
          <w:rFonts w:hint="eastAsia" w:asciiTheme="minorEastAsia" w:hAnsiTheme="minorEastAsia" w:eastAsiaTheme="minorEastAsia" w:cstheme="minorEastAsia"/>
        </w:rPr>
        <w:t>在经济和科研方面取得的显著成就</w:t>
      </w:r>
      <w:r>
        <w:rPr>
          <w:rFonts w:hint="eastAsia" w:asciiTheme="minorEastAsia" w:hAnsiTheme="minorEastAsia" w:eastAsiaTheme="minorEastAsia" w:cstheme="minorEastAsia"/>
          <w:lang w:val="en-US" w:eastAsia="zh-CN"/>
        </w:rPr>
        <w:t>以</w:t>
      </w:r>
      <w:r>
        <w:rPr>
          <w:rFonts w:hint="eastAsia" w:asciiTheme="minorEastAsia" w:hAnsiTheme="minorEastAsia" w:eastAsiaTheme="minorEastAsia" w:cstheme="minorEastAsia"/>
        </w:rPr>
        <w:t>及若干其它重要经济现实和理论问题给出了逻辑自洽的解释。</w:t>
      </w:r>
    </w:p>
    <w:p>
      <w:pPr>
        <w:widowControl/>
        <w:ind w:left="0" w:leftChars="0" w:firstLine="420" w:firstLineChars="200"/>
        <w:jc w:val="left"/>
        <w:rPr>
          <w:rFonts w:hint="default"/>
        </w:rPr>
      </w:pP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r>
        <w:rPr>
          <w:rFonts w:hint="eastAsia"/>
        </w:rPr>
        <w:t>八、政策建议</w:t>
      </w:r>
    </w:p>
    <w:p>
      <w:pPr>
        <w:rPr>
          <w:szCs w:val="21"/>
        </w:rPr>
      </w:pPr>
      <w:r>
        <w:rPr>
          <w:szCs w:val="21"/>
        </w:rPr>
        <w:t>根据前文阐述的关于市场经济的基本规律假设及推演出的经济规律或约束关系，本文</w:t>
      </w:r>
      <w:r>
        <w:rPr>
          <w:rFonts w:hint="eastAsia"/>
          <w:szCs w:val="21"/>
          <w:lang w:val="en-US" w:eastAsia="zh-CN"/>
        </w:rPr>
        <w:t>提出</w:t>
      </w:r>
      <w:r>
        <w:rPr>
          <w:szCs w:val="21"/>
        </w:rPr>
        <w:t>如下政策建议。</w:t>
      </w:r>
    </w:p>
    <w:p>
      <w:pPr>
        <w:rPr>
          <w:szCs w:val="21"/>
        </w:rPr>
      </w:pPr>
      <w:r>
        <w:rPr>
          <w:szCs w:val="21"/>
        </w:rPr>
        <w:t>（一）让自由市场成为社会存量资产优化配置的最重要手段。</w:t>
      </w:r>
    </w:p>
    <w:p>
      <w:pPr>
        <w:rPr>
          <w:szCs w:val="21"/>
        </w:rPr>
      </w:pPr>
      <w:r>
        <w:rPr>
          <w:szCs w:val="21"/>
        </w:rPr>
        <w:t>1. 清除各种影响劳动力自由流动的障碍，最大程度实现劳动力自由竞争。中国改革开放取得巨大成功最重要的原因之一是各单位解除了对劳动力的流动管制。</w:t>
      </w:r>
    </w:p>
    <w:p>
      <w:pPr>
        <w:rPr>
          <w:szCs w:val="21"/>
        </w:rPr>
      </w:pPr>
      <w:r>
        <w:rPr>
          <w:szCs w:val="21"/>
        </w:rPr>
        <w:t>2. 清除各种影响城市居民住房自由交易的障碍，最大程度实现城市居民住房市场化最优配置。城市住房是随社会货币供应量增加而不断增值的投资品，需对城市居民住房实行限购限贷政策以防加剧社会财富贫富不均和投机炒作。但不能因为对城市居民住房实行限购限贷而对城市居民住房自由交易设置各种障碍。限购限贷政策已最大程度抑制了城市居民住房的炒作与投机。</w:t>
      </w:r>
    </w:p>
    <w:p>
      <w:pPr>
        <w:rPr>
          <w:szCs w:val="21"/>
        </w:rPr>
      </w:pPr>
      <w:r>
        <w:rPr>
          <w:szCs w:val="21"/>
        </w:rPr>
        <w:t>3. 土地</w:t>
      </w:r>
      <w:r>
        <w:rPr>
          <w:rFonts w:hint="eastAsia"/>
          <w:szCs w:val="21"/>
        </w:rPr>
        <w:t>、</w:t>
      </w:r>
      <w:r>
        <w:rPr>
          <w:szCs w:val="21"/>
        </w:rPr>
        <w:t>空间</w:t>
      </w:r>
      <w:r>
        <w:rPr>
          <w:rFonts w:hint="eastAsia"/>
          <w:szCs w:val="21"/>
        </w:rPr>
        <w:t>、</w:t>
      </w:r>
      <w:r>
        <w:rPr>
          <w:szCs w:val="21"/>
        </w:rPr>
        <w:t>海洋和矿产等政府掌握的社会公共资源向私人部门转让使用权时，应该进行市场化拍卖。</w:t>
      </w:r>
    </w:p>
    <w:p>
      <w:pPr>
        <w:rPr>
          <w:szCs w:val="21"/>
        </w:rPr>
      </w:pPr>
      <w:r>
        <w:rPr>
          <w:szCs w:val="21"/>
        </w:rPr>
        <w:t>（二）优化私人部门投资与政府部门投资的关系</w:t>
      </w:r>
    </w:p>
    <w:p>
      <w:pPr>
        <w:rPr>
          <w:szCs w:val="21"/>
        </w:rPr>
      </w:pPr>
      <w:r>
        <w:rPr>
          <w:szCs w:val="21"/>
        </w:rPr>
        <w:t>1. 能直接实现盈利的项目由私人部门投资，让市场竞争选出最优秀的经营主体。</w:t>
      </w:r>
    </w:p>
    <w:p>
      <w:pPr>
        <w:rPr>
          <w:szCs w:val="21"/>
        </w:rPr>
      </w:pPr>
      <w:r>
        <w:rPr>
          <w:szCs w:val="21"/>
        </w:rPr>
        <w:t>2. 对提高经济禀赋有意义但不宜盈利的项目由政府投资，发挥政府货币财政资金来源相对充足的优势。</w:t>
      </w:r>
    </w:p>
    <w:p>
      <w:pPr>
        <w:rPr>
          <w:szCs w:val="21"/>
        </w:rPr>
      </w:pPr>
      <w:r>
        <w:rPr>
          <w:szCs w:val="21"/>
        </w:rPr>
        <w:t>3. 实践中私人部门投资和政府投资不一定有明确的界限，应保证各种体制经济主体公平竞争。</w:t>
      </w:r>
    </w:p>
    <w:p>
      <w:pPr>
        <w:rPr>
          <w:szCs w:val="21"/>
        </w:rPr>
      </w:pPr>
      <w:r>
        <w:rPr>
          <w:szCs w:val="21"/>
        </w:rPr>
        <w:t xml:space="preserve"> （三）用足政府投资政策空间，最大程度改善民众生活和提高经济体禀赋。</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树立知识是第一生产力信念，持续扩大高校博士生和教授规模，让中国从普通劳动力红利、工程师红利升级为科学家红利；让中国最终成为全球科学与技术研究中心和全球高科技产业中心。</w:t>
      </w:r>
    </w:p>
    <w:p>
      <w:pPr>
        <w:rPr>
          <w:rFonts w:hint="default"/>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免除社保缴费，降低企业成本，提高国内企业国际竞争力。社保支出为政府支出，政府财政由货币发行平衡。</w:t>
      </w:r>
    </w:p>
    <w:p>
      <w:pPr>
        <w:rPr>
          <w:szCs w:val="21"/>
        </w:rPr>
      </w:pPr>
      <w:r>
        <w:rPr>
          <w:szCs w:val="21"/>
        </w:rPr>
        <w:fldChar w:fldCharType="begin"/>
      </w:r>
      <w:r>
        <w:rPr>
          <w:szCs w:val="21"/>
        </w:rPr>
        <w:instrText xml:space="preserve"> = 3 \* GB1 \* MERGEFORMAT </w:instrText>
      </w:r>
      <w:r>
        <w:rPr>
          <w:szCs w:val="21"/>
        </w:rPr>
        <w:fldChar w:fldCharType="separate"/>
      </w:r>
      <w:r>
        <w:rPr>
          <w:rFonts w:hint="eastAsia" w:ascii="宋体" w:hAnsi="宋体" w:cs="宋体"/>
        </w:rPr>
        <w:t>⒊</w:t>
      </w:r>
      <w:r>
        <w:rPr>
          <w:szCs w:val="21"/>
        </w:rPr>
        <w:fldChar w:fldCharType="end"/>
      </w:r>
      <w:r>
        <w:rPr>
          <w:szCs w:val="21"/>
        </w:rPr>
        <w:t xml:space="preserve"> 条件成熟时实行免费医疗和免费教育，适量建设保障性住房和特色小区，适量建设休闲娱乐设施，持续精准扶贫，最大程度实现全社会共同富裕。</w:t>
      </w:r>
    </w:p>
    <w:p>
      <w:pPr>
        <w:rPr>
          <w:szCs w:val="21"/>
        </w:rPr>
      </w:pPr>
      <w:r>
        <w:rPr>
          <w:szCs w:val="21"/>
        </w:rPr>
        <w:t>（四）完善国际经济政策</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管理私人部门跨境资本流动、对外投资和融资，保证社会公共财富不流失到国外，这是政府管理的市场经济赖以成立的前提。</w:t>
      </w:r>
    </w:p>
    <w:p>
      <w:pPr>
        <w:widowControl/>
        <w:jc w:val="left"/>
        <w:rPr>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制定合理的汇率与进出口关税，提高国内企业国际竞争力，促进国内产业技术升级，提高经济体禀赋。</w:t>
      </w:r>
    </w:p>
    <w:p>
      <w:pPr>
        <w:rPr>
          <w:szCs w:val="21"/>
        </w:rPr>
      </w:pPr>
    </w:p>
    <w:p>
      <w:r>
        <w:t xml:space="preserve">Abstract: This paper </w:t>
      </w:r>
      <w:r>
        <w:rPr>
          <w:rFonts w:hint="eastAsia"/>
          <w:lang w:val="en-US" w:eastAsia="zh-CN"/>
        </w:rPr>
        <w:t xml:space="preserve">suggests a theoretical framework: government-managed economy. The article reviews </w:t>
      </w:r>
      <w:r>
        <w:t>mathematical scientific methodology and assumption</w:t>
      </w:r>
      <w:r>
        <w:rPr>
          <w:rFonts w:hint="eastAsia"/>
          <w:lang w:val="en-US" w:eastAsia="zh-CN"/>
        </w:rPr>
        <w:t xml:space="preserve">, proposes a government-managed model by improving the primary assumptions </w:t>
      </w:r>
      <w:r>
        <w:t>o</w:t>
      </w:r>
      <w:r>
        <w:rPr>
          <w:rFonts w:hint="eastAsia"/>
          <w:lang w:val="en-US" w:eastAsia="zh-CN"/>
        </w:rPr>
        <w:t xml:space="preserve">f </w:t>
      </w:r>
      <w:r>
        <w:t>Neoclassical and Keynesian</w:t>
      </w:r>
      <w:r>
        <w:rPr>
          <w:rFonts w:hint="eastAsia"/>
          <w:lang w:val="en-US" w:eastAsia="zh-CN"/>
        </w:rPr>
        <w:t>.</w:t>
      </w:r>
      <w:r>
        <w:t xml:space="preserve"> </w:t>
      </w:r>
      <w:r>
        <w:rPr>
          <w:rFonts w:hint="eastAsia"/>
          <w:lang w:val="en-US" w:eastAsia="zh-CN"/>
        </w:rPr>
        <w:t>Model economy is assumed can</w:t>
      </w:r>
      <w:r>
        <w:rPr>
          <w:rFonts w:hint="default"/>
          <w:lang w:val="en-US" w:eastAsia="zh-CN"/>
        </w:rPr>
        <w:t>’</w:t>
      </w:r>
      <w:r>
        <w:rPr>
          <w:rFonts w:hint="eastAsia"/>
          <w:lang w:val="en-US" w:eastAsia="zh-CN"/>
        </w:rPr>
        <w:t xml:space="preserve">t reach optimal equilibrium without government intervene, whereas various </w:t>
      </w:r>
      <w:r>
        <w:t>Neoclassical and Keynesian</w:t>
      </w:r>
      <w:r>
        <w:rPr>
          <w:rFonts w:hint="eastAsia"/>
          <w:lang w:val="en-US" w:eastAsia="zh-CN"/>
        </w:rPr>
        <w:t xml:space="preserve"> model economies are assumed can reach optimal equilibrium. Government policies can lower unemployment rate ,improve the society</w:t>
      </w:r>
      <w:r>
        <w:rPr>
          <w:rFonts w:hint="default"/>
          <w:lang w:val="en-US" w:eastAsia="zh-CN"/>
        </w:rPr>
        <w:t>’</w:t>
      </w:r>
      <w:r>
        <w:rPr>
          <w:rFonts w:hint="eastAsia"/>
          <w:lang w:val="en-US" w:eastAsia="zh-CN"/>
        </w:rPr>
        <w:t>s well-being and the economy</w:t>
      </w:r>
      <w:r>
        <w:rPr>
          <w:rFonts w:hint="default"/>
          <w:lang w:val="en-US" w:eastAsia="zh-CN"/>
        </w:rPr>
        <w:t>’</w:t>
      </w:r>
      <w:r>
        <w:rPr>
          <w:rFonts w:hint="eastAsia"/>
          <w:lang w:val="en-US" w:eastAsia="zh-CN"/>
        </w:rPr>
        <w:t>s endowments</w:t>
      </w:r>
      <w:r>
        <w:t xml:space="preserve">. </w:t>
      </w:r>
      <w:r>
        <w:rPr>
          <w:rFonts w:hint="eastAsia"/>
        </w:rPr>
        <w:t>Model economy can avoid the financial crisis</w:t>
      </w:r>
      <w:r>
        <w:rPr>
          <w:rFonts w:hint="eastAsia"/>
          <w:lang w:val="en-US" w:eastAsia="zh-CN"/>
        </w:rPr>
        <w:t>, smooth the fluctuations and improve economy</w:t>
      </w:r>
      <w:r>
        <w:rPr>
          <w:rFonts w:hint="default"/>
          <w:lang w:val="en-US" w:eastAsia="zh-CN"/>
        </w:rPr>
        <w:t>’</w:t>
      </w:r>
      <w:r>
        <w:rPr>
          <w:rFonts w:hint="eastAsia"/>
          <w:lang w:val="en-US" w:eastAsia="zh-CN"/>
        </w:rPr>
        <w:t xml:space="preserve">s growth potential,whereas controlling </w:t>
      </w:r>
      <w:r>
        <w:t xml:space="preserve"> private sector</w:t>
      </w:r>
      <w:r>
        <w:rPr>
          <w:rFonts w:hint="default"/>
          <w:lang w:val="en-US" w:eastAsia="zh-CN"/>
        </w:rPr>
        <w:t>’</w:t>
      </w:r>
      <w:r>
        <w:rPr>
          <w:rFonts w:hint="eastAsia"/>
          <w:lang w:val="en-US" w:eastAsia="zh-CN"/>
        </w:rPr>
        <w:t xml:space="preserve">s cross-border </w:t>
      </w:r>
      <w:r>
        <w:t xml:space="preserve">capital flows, overseas investment and financing is a </w:t>
      </w:r>
      <w:r>
        <w:rPr>
          <w:rFonts w:hint="eastAsia"/>
          <w:lang w:val="en-US" w:eastAsia="zh-CN"/>
        </w:rPr>
        <w:t>precondition of the model economy</w:t>
      </w:r>
      <w:r>
        <w:rPr>
          <w:rFonts w:hint="eastAsia"/>
        </w:rPr>
        <w:t xml:space="preserve">. </w:t>
      </w:r>
      <w:r>
        <w:t xml:space="preserve">This paper gives a different </w:t>
      </w:r>
      <w:r>
        <w:rPr>
          <w:rFonts w:hint="eastAsia"/>
          <w:lang w:val="en-US" w:eastAsia="zh-CN"/>
        </w:rPr>
        <w:t>interpretation from mainstream theory</w:t>
      </w:r>
      <w:r>
        <w:t xml:space="preserve"> on China’s remarkable achievements in economic growth and scientific research in the past forty years and some other important economic reality and economic theory problems.</w:t>
      </w:r>
    </w:p>
    <w:p>
      <w:pPr>
        <w:rPr>
          <w:rFonts w:hint="default" w:eastAsia="宋体"/>
          <w:lang w:val="en-US" w:eastAsia="zh-CN"/>
        </w:rPr>
      </w:pPr>
      <w:r>
        <w:t>keywords: methodology; primary assumptions;</w:t>
      </w:r>
      <w:r>
        <w:rPr>
          <w:rFonts w:hint="eastAsia"/>
          <w:lang w:val="en-US" w:eastAsia="zh-CN"/>
        </w:rPr>
        <w:t xml:space="preserve"> model; </w:t>
      </w:r>
      <w:r>
        <w:t xml:space="preserve">government-managed economy; </w:t>
      </w:r>
      <w:r>
        <w:rPr>
          <w:rFonts w:hint="eastAsia"/>
          <w:lang w:val="en-US" w:eastAsia="zh-CN"/>
        </w:rPr>
        <w:t>economy</w:t>
      </w:r>
      <w:r>
        <w:rPr>
          <w:rFonts w:hint="default"/>
          <w:lang w:val="en-US" w:eastAsia="zh-CN"/>
        </w:rPr>
        <w:t>’</w:t>
      </w:r>
      <w:r>
        <w:rPr>
          <w:rFonts w:hint="eastAsia"/>
          <w:lang w:val="en-US" w:eastAsia="zh-CN"/>
        </w:rPr>
        <w:t>s endowments</w:t>
      </w:r>
      <w:r>
        <w:t>; cross boarder capital flow</w:t>
      </w:r>
      <w:bookmarkEnd w:id="1"/>
      <w:r>
        <w:rPr>
          <w:rFonts w:hint="eastAsia"/>
          <w:lang w:val="en-US" w:eastAsia="zh-CN"/>
        </w:rPr>
        <w:t>; economic theory framework.</w:t>
      </w:r>
    </w:p>
    <w:p>
      <w:pPr>
        <w:pStyle w:val="14"/>
        <w:ind w:firstLine="381"/>
        <w:rPr>
          <w:rStyle w:val="41"/>
          <w:bCs w:val="0"/>
          <w:i w:val="0"/>
          <w:iCs w:val="0"/>
        </w:rPr>
      </w:pPr>
      <w:r>
        <w:rPr>
          <w:rStyle w:val="41"/>
          <w:rFonts w:hint="eastAsia"/>
          <w:bCs w:val="0"/>
          <w:i w:val="0"/>
          <w:iCs w:val="0"/>
        </w:rPr>
        <w:t>参考文献</w:t>
      </w:r>
    </w:p>
    <w:p>
      <w:pPr>
        <w:pStyle w:val="34"/>
        <w:ind w:left="420" w:leftChars="200" w:firstLine="0" w:firstLineChars="0"/>
      </w:pPr>
      <w:r>
        <w:rPr>
          <w:rFonts w:hint="eastAsia"/>
        </w:rPr>
        <w:t xml:space="preserve">丁春燕. (2008). 商业银行不良资产剥离问题研究综述. </w:t>
      </w:r>
      <w:r>
        <w:rPr>
          <w:rFonts w:hint="eastAsia"/>
          <w:i/>
        </w:rPr>
        <w:t>时代经贸(中旬刊)</w:t>
      </w:r>
      <w:r>
        <w:rPr>
          <w:rFonts w:hint="eastAsia"/>
        </w:rPr>
        <w:t xml:space="preserve">(S3), 199-201. </w:t>
      </w:r>
    </w:p>
    <w:p>
      <w:pPr>
        <w:pStyle w:val="34"/>
        <w:ind w:firstLine="400"/>
      </w:pPr>
      <w:r>
        <w:rPr>
          <w:rFonts w:hint="eastAsia"/>
        </w:rPr>
        <w:t xml:space="preserve">付才辉. (2018). 最优生产函数理论——从新古典经济学向新结构经济学的范式转换. </w:t>
      </w:r>
      <w:r>
        <w:rPr>
          <w:rFonts w:hint="eastAsia"/>
          <w:i/>
        </w:rPr>
        <w:t>经济评论</w:t>
      </w:r>
      <w:r>
        <w:rPr>
          <w:rFonts w:hint="eastAsia"/>
        </w:rPr>
        <w:t xml:space="preserve">(01), 3-46. </w:t>
      </w:r>
    </w:p>
    <w:p>
      <w:pPr>
        <w:pStyle w:val="34"/>
        <w:ind w:firstLine="400"/>
      </w:pPr>
      <w:r>
        <w:rPr>
          <w:rFonts w:hint="eastAsia"/>
        </w:rPr>
        <w:t xml:space="preserve">洪永淼. (2021). 理解现代计量经济学. </w:t>
      </w:r>
      <w:r>
        <w:rPr>
          <w:rFonts w:hint="eastAsia"/>
          <w:i/>
        </w:rPr>
        <w:t>计量经济学报, 1</w:t>
      </w:r>
      <w:r>
        <w:rPr>
          <w:rFonts w:hint="eastAsia"/>
        </w:rPr>
        <w:t xml:space="preserve">(02), 266-284. </w:t>
      </w:r>
    </w:p>
    <w:p>
      <w:pPr>
        <w:pStyle w:val="34"/>
        <w:ind w:firstLine="400"/>
      </w:pPr>
      <w:r>
        <w:rPr>
          <w:rFonts w:hint="eastAsia"/>
        </w:rPr>
        <w:t xml:space="preserve">林毅夫. (2011). 新结构经济学——重构发展经济学的框架. </w:t>
      </w:r>
      <w:r>
        <w:rPr>
          <w:rFonts w:hint="eastAsia"/>
          <w:i/>
        </w:rPr>
        <w:t>经济学, 10</w:t>
      </w:r>
      <w:r>
        <w:rPr>
          <w:rFonts w:hint="eastAsia"/>
        </w:rPr>
        <w:t>(01), 1-32. doi:10.13821/j.cnki.ceq.2011.01.014</w:t>
      </w:r>
    </w:p>
    <w:p>
      <w:pPr>
        <w:pStyle w:val="34"/>
        <w:ind w:firstLine="400"/>
      </w:pPr>
      <w:r>
        <w:rPr>
          <w:rFonts w:hint="eastAsia"/>
        </w:rPr>
        <w:t xml:space="preserve">林毅夫. (2014). 林毅夫:有效市场与有为政府. </w:t>
      </w:r>
      <w:r>
        <w:rPr>
          <w:rFonts w:hint="eastAsia"/>
          <w:i/>
        </w:rPr>
        <w:t>记者观察, No.357</w:t>
      </w:r>
      <w:r>
        <w:rPr>
          <w:rFonts w:hint="eastAsia"/>
        </w:rPr>
        <w:t xml:space="preserve">(01), 62-63. </w:t>
      </w:r>
    </w:p>
    <w:p>
      <w:pPr>
        <w:pStyle w:val="34"/>
        <w:ind w:firstLine="400"/>
      </w:pPr>
      <w:r>
        <w:rPr>
          <w:rFonts w:hint="eastAsia"/>
        </w:rPr>
        <w:t xml:space="preserve">田国强. (2016). 再论有限政府和有为政府. In </w:t>
      </w:r>
      <w:r>
        <w:rPr>
          <w:rFonts w:hint="eastAsia"/>
          <w:i/>
        </w:rPr>
        <w:t>第一财经日报</w:t>
      </w:r>
      <w:r>
        <w:rPr>
          <w:rFonts w:hint="eastAsia"/>
        </w:rPr>
        <w:t>: 上海财经大学.</w:t>
      </w:r>
    </w:p>
    <w:p>
      <w:pPr>
        <w:pStyle w:val="34"/>
        <w:ind w:firstLine="400"/>
      </w:pPr>
      <w:r>
        <w:rPr>
          <w:rFonts w:hint="eastAsia"/>
        </w:rPr>
        <w:t xml:space="preserve">田国强. (2017). 争议产业政策——有限政府,有为政府? </w:t>
      </w:r>
      <w:r>
        <w:rPr>
          <w:rFonts w:hint="eastAsia"/>
          <w:i/>
        </w:rPr>
        <w:t>领导决策信息, No.1050</w:t>
      </w:r>
      <w:r>
        <w:rPr>
          <w:rFonts w:hint="eastAsia"/>
        </w:rPr>
        <w:t xml:space="preserve">(05), 18-19. </w:t>
      </w:r>
    </w:p>
    <w:p>
      <w:pPr>
        <w:pStyle w:val="34"/>
        <w:ind w:firstLine="400"/>
      </w:pPr>
      <w:r>
        <w:fldChar w:fldCharType="begin"/>
      </w:r>
      <w:r>
        <w:instrText xml:space="preserve"> ADDIN EN.REFLIST </w:instrText>
      </w:r>
      <w:r>
        <w:fldChar w:fldCharType="separate"/>
      </w:r>
      <w:r>
        <w:t xml:space="preserve">Adb, A. A., Furceri, D., et al. (2016). The macroeconomic effects of public investment: Evidence from advanced economies. </w:t>
      </w:r>
      <w:r>
        <w:rPr>
          <w:i/>
        </w:rPr>
        <w:t>Journal of Macroeconomics, 50</w:t>
      </w:r>
      <w:r>
        <w:t xml:space="preserve">, 224-240. </w:t>
      </w:r>
    </w:p>
    <w:p>
      <w:pPr>
        <w:pStyle w:val="34"/>
        <w:ind w:firstLine="400"/>
      </w:pPr>
      <w:r>
        <w:t xml:space="preserve">Arrow, K. J. (1971). The economic implications of learning by doing. In </w:t>
      </w:r>
      <w:r>
        <w:rPr>
          <w:i/>
        </w:rPr>
        <w:t>Readings in the Theory of Growth</w:t>
      </w:r>
      <w:r>
        <w:t xml:space="preserve"> (pp. 131-149): Springer.</w:t>
      </w:r>
    </w:p>
    <w:p>
      <w:pPr>
        <w:pStyle w:val="34"/>
        <w:ind w:firstLine="400"/>
      </w:pPr>
      <w:r>
        <w:t xml:space="preserve">Arrow, K. J., and Debreu, G. (1954). Existence of an equilibrium for a competitive economy. </w:t>
      </w:r>
      <w:r>
        <w:rPr>
          <w:i/>
        </w:rPr>
        <w:t>Econometrica: Journal of the Econometric Society</w:t>
      </w:r>
      <w:r>
        <w:t xml:space="preserve">, 265-290. </w:t>
      </w:r>
    </w:p>
    <w:p>
      <w:pPr>
        <w:pStyle w:val="34"/>
        <w:ind w:firstLine="400"/>
      </w:pPr>
      <w:r>
        <w:t xml:space="preserve">Ball, L. M., and Mankiw, N. G. (2021). </w:t>
      </w:r>
      <w:r>
        <w:rPr>
          <w:i/>
        </w:rPr>
        <w:t>Market power in neoclassical growth models</w:t>
      </w:r>
      <w:r>
        <w:t xml:space="preserve">. Retrieved from </w:t>
      </w:r>
    </w:p>
    <w:p>
      <w:pPr>
        <w:pStyle w:val="34"/>
        <w:ind w:firstLine="400"/>
      </w:pPr>
      <w:r>
        <w:t xml:space="preserve">Bernanke, B. S. (2012). </w:t>
      </w:r>
      <w:r>
        <w:rPr>
          <w:i/>
        </w:rPr>
        <w:t>Monetary Policy since the Onset of the Crisis</w:t>
      </w:r>
      <w:r>
        <w:t>.</w:t>
      </w:r>
    </w:p>
    <w:p>
      <w:pPr>
        <w:pStyle w:val="34"/>
        <w:ind w:firstLine="400"/>
      </w:pPr>
      <w:r>
        <w:t xml:space="preserve">Einstein, A. (2011). </w:t>
      </w:r>
      <w:r>
        <w:rPr>
          <w:i/>
        </w:rPr>
        <w:t>Letters to Solovine, 1906–1955</w:t>
      </w:r>
      <w:r>
        <w:t>: Open Road Media.</w:t>
      </w:r>
    </w:p>
    <w:p>
      <w:pPr>
        <w:pStyle w:val="34"/>
        <w:ind w:firstLine="400"/>
      </w:pPr>
      <w:r>
        <w:t xml:space="preserve">Fernández-Villaverde, J. (2010). The econometrics of DSGE models. </w:t>
      </w:r>
      <w:r>
        <w:rPr>
          <w:i/>
        </w:rPr>
        <w:t>SERIEs, 1</w:t>
      </w:r>
      <w:r>
        <w:t xml:space="preserve">(1), 3-49. </w:t>
      </w:r>
    </w:p>
    <w:p>
      <w:pPr>
        <w:pStyle w:val="34"/>
        <w:ind w:firstLine="400"/>
      </w:pPr>
      <w:r>
        <w:t xml:space="preserve">Friedman, M. (1953). </w:t>
      </w:r>
      <w:r>
        <w:rPr>
          <w:i/>
        </w:rPr>
        <w:t>Essays in positive economics</w:t>
      </w:r>
      <w:r>
        <w:t>: University of Chicago press.</w:t>
      </w:r>
    </w:p>
    <w:p>
      <w:pPr>
        <w:pStyle w:val="34"/>
        <w:ind w:firstLine="400"/>
      </w:pPr>
      <w:r>
        <w:t xml:space="preserve">Grauwe, P. D. (2010). The banking crisis: causes, consequences and remedies. In </w:t>
      </w:r>
      <w:r>
        <w:rPr>
          <w:i/>
        </w:rPr>
        <w:t>The Global Crash</w:t>
      </w:r>
      <w:r>
        <w:t xml:space="preserve"> (pp. 10-31): Springer.</w:t>
      </w:r>
    </w:p>
    <w:p>
      <w:pPr>
        <w:pStyle w:val="34"/>
        <w:ind w:firstLine="400"/>
      </w:pPr>
      <w:r>
        <w:t xml:space="preserve">Hicks, J. R. (1937). Mr. Keynes and the" classics"; a suggested interpretation. </w:t>
      </w:r>
      <w:r>
        <w:rPr>
          <w:i/>
        </w:rPr>
        <w:t>Econometrica: Journal of the Econometric Society</w:t>
      </w:r>
      <w:r>
        <w:t xml:space="preserve">, 147-159. </w:t>
      </w:r>
    </w:p>
    <w:p>
      <w:pPr>
        <w:pStyle w:val="34"/>
        <w:ind w:firstLine="400"/>
      </w:pPr>
      <w:r>
        <w:t xml:space="preserve">House, C. L., and Masatlioglu, Y. (2010). </w:t>
      </w:r>
      <w:r>
        <w:rPr>
          <w:i/>
        </w:rPr>
        <w:t>Managing markets for toxic assets</w:t>
      </w:r>
      <w:r>
        <w:t xml:space="preserve">. Retrieved from </w:t>
      </w:r>
    </w:p>
    <w:p>
      <w:pPr>
        <w:pStyle w:val="34"/>
        <w:ind w:firstLine="400"/>
      </w:pPr>
      <w:r>
        <w:t xml:space="preserve">Keynes, J. M. (1937). The general theory of employment. </w:t>
      </w:r>
      <w:r>
        <w:rPr>
          <w:i/>
        </w:rPr>
        <w:t>The quarterly journal of economics, 51</w:t>
      </w:r>
      <w:r>
        <w:t xml:space="preserve">(2), 209-223. </w:t>
      </w:r>
    </w:p>
    <w:p>
      <w:pPr>
        <w:pStyle w:val="34"/>
        <w:ind w:firstLine="400"/>
      </w:pPr>
      <w:r>
        <w:t xml:space="preserve">Krugman, P. (1979). A model of balance-of-payments crises. </w:t>
      </w:r>
      <w:r>
        <w:rPr>
          <w:i/>
        </w:rPr>
        <w:t>Journal of money, credit and banking, 11</w:t>
      </w:r>
      <w:r>
        <w:t xml:space="preserve">(3), 311-325. </w:t>
      </w:r>
    </w:p>
    <w:p>
      <w:pPr>
        <w:pStyle w:val="34"/>
        <w:ind w:firstLine="400"/>
      </w:pPr>
      <w:r>
        <w:t xml:space="preserve">Lucas Jr, R. E. (1975). An equilibrium model of the business cycle. </w:t>
      </w:r>
      <w:r>
        <w:rPr>
          <w:i/>
        </w:rPr>
        <w:t>Journal of political economy, 83</w:t>
      </w:r>
      <w:r>
        <w:t xml:space="preserve">(6), 1113-1144. </w:t>
      </w:r>
    </w:p>
    <w:p>
      <w:pPr>
        <w:pStyle w:val="34"/>
        <w:ind w:firstLine="400"/>
      </w:pPr>
      <w:r>
        <w:t xml:space="preserve">Lucas Jr, R. E. (1988). On the mechanics of economic development. </w:t>
      </w:r>
      <w:r>
        <w:rPr>
          <w:i/>
        </w:rPr>
        <w:t>Journal of monetary economics, 22</w:t>
      </w:r>
      <w:r>
        <w:t xml:space="preserve">(1), 3-42. </w:t>
      </w:r>
    </w:p>
    <w:p>
      <w:pPr>
        <w:pStyle w:val="34"/>
        <w:ind w:firstLine="400"/>
      </w:pPr>
      <w:r>
        <w:t xml:space="preserve">Phillips, A. W. (1958). The relation between unemployment and the rate of change of money wage rates in the United Kingdom, 1861-1957. </w:t>
      </w:r>
      <w:r>
        <w:rPr>
          <w:i/>
        </w:rPr>
        <w:t>economica, 25</w:t>
      </w:r>
      <w:r>
        <w:t xml:space="preserve">(100), 283-299. </w:t>
      </w:r>
    </w:p>
    <w:p>
      <w:pPr>
        <w:pStyle w:val="34"/>
        <w:ind w:firstLine="400"/>
      </w:pPr>
      <w:r>
        <w:t xml:space="preserve">Romer, P. M. (1990). Endogenous technological change. </w:t>
      </w:r>
      <w:r>
        <w:rPr>
          <w:i/>
        </w:rPr>
        <w:t>Journal of political economy, 98</w:t>
      </w:r>
      <w:r>
        <w:t xml:space="preserve">(5, Part 2), S71-S102. </w:t>
      </w:r>
    </w:p>
    <w:p>
      <w:pPr>
        <w:pStyle w:val="34"/>
        <w:ind w:firstLine="400"/>
        <w:rPr>
          <w:rFonts w:hint="default" w:eastAsia="宋体"/>
          <w:lang w:val="en-US" w:eastAsia="zh-CN"/>
        </w:rPr>
      </w:pPr>
      <w:r>
        <w:rPr>
          <w:rFonts w:hint="eastAsia"/>
          <w:lang w:val="en-US" w:eastAsia="zh-CN"/>
        </w:rPr>
        <w:t>Samuelson, Paul A. and Nordhaus, William D. Economics Nineteenth edition 2010</w:t>
      </w:r>
    </w:p>
    <w:p>
      <w:pPr>
        <w:pStyle w:val="34"/>
        <w:ind w:firstLine="400"/>
      </w:pPr>
      <w:r>
        <w:t>Smith, A. (1776). An inquiry into the nature and causes of the wealth of nations: Volume One. In: London: printed for W. Strahan; and T. Cadell, 1776.</w:t>
      </w:r>
    </w:p>
    <w:p>
      <w:pPr>
        <w:pStyle w:val="34"/>
        <w:ind w:firstLine="400"/>
      </w:pPr>
      <w:r>
        <w:t xml:space="preserve">Solow, R. M. (1956). A contribution to the theory of economic growth. </w:t>
      </w:r>
      <w:r>
        <w:rPr>
          <w:i/>
        </w:rPr>
        <w:t>The quarterly journal of economics, 70</w:t>
      </w:r>
      <w:r>
        <w:t xml:space="preserve">(1), 65-94. </w:t>
      </w:r>
    </w:p>
    <w:p>
      <w:pPr>
        <w:pStyle w:val="34"/>
        <w:ind w:firstLine="400"/>
      </w:pPr>
      <w:r>
        <w:t xml:space="preserve">Wald, A. (1951). On some systems of equations of mathematical economics. </w:t>
      </w:r>
      <w:r>
        <w:rPr>
          <w:i/>
        </w:rPr>
        <w:t>Econometrica: Journal of the Econometric Society</w:t>
      </w:r>
      <w:r>
        <w:t xml:space="preserve">, 368-403. </w:t>
      </w:r>
    </w:p>
    <w:p>
      <w:pPr>
        <w:pStyle w:val="34"/>
        <w:ind w:firstLine="400"/>
      </w:pPr>
      <w:r>
        <w:t xml:space="preserve">Zhukovskiy, V. I., and Kudryavtsev, K. N. (2016). Pareto-optimal Nash equilibrium: Sufficient conditions and existence in mixed strategies. </w:t>
      </w:r>
      <w:r>
        <w:rPr>
          <w:i/>
        </w:rPr>
        <w:t>Automation and Remote Control, 77</w:t>
      </w:r>
      <w:r>
        <w:t xml:space="preserve">(8), 1500-1510. </w:t>
      </w:r>
    </w:p>
    <w:p>
      <w:pPr>
        <w:pStyle w:val="24"/>
        <w:ind w:firstLine="420"/>
      </w:pPr>
      <w:r>
        <w:fldChar w:fldCharType="end"/>
      </w:r>
    </w:p>
    <w:p>
      <w:pPr>
        <w:widowControl/>
        <w:ind w:firstLine="0" w:firstLineChars="0"/>
        <w:jc w:val="left"/>
      </w:pPr>
      <w:r>
        <w:br w:type="page"/>
      </w:r>
    </w:p>
    <w:p>
      <w:pPr>
        <w:pStyle w:val="16"/>
      </w:pPr>
      <w:r>
        <w:rPr>
          <w:rFonts w:hint="eastAsia"/>
        </w:rPr>
        <w:t>附录</w:t>
      </w:r>
    </w:p>
    <w:p>
      <w:pPr>
        <w:pStyle w:val="2"/>
      </w:pPr>
      <w:r>
        <w:rPr>
          <w:rFonts w:hint="eastAsia"/>
        </w:rPr>
        <w:t>附录</w:t>
      </w:r>
      <w:r>
        <w:rPr>
          <w:rFonts w:hint="eastAsia"/>
        </w:rPr>
        <w:fldChar w:fldCharType="begin"/>
      </w:r>
      <w:r>
        <w:rPr>
          <w:rFonts w:hint="eastAsia"/>
        </w:rPr>
        <w:instrText xml:space="preserve"> = 1 \* Arabic \* MERGEFORMAT </w:instrText>
      </w:r>
      <w:r>
        <w:rPr>
          <w:rFonts w:hint="eastAsia"/>
        </w:rPr>
        <w:fldChar w:fldCharType="separate"/>
      </w:r>
      <w:r>
        <w:t>1</w:t>
      </w:r>
      <w:r>
        <w:rPr>
          <w:rFonts w:hint="eastAsia"/>
        </w:rPr>
        <w:fldChar w:fldCharType="end"/>
      </w:r>
      <w:r>
        <w:t xml:space="preserve"> </w:t>
      </w:r>
      <w:r>
        <w:rPr>
          <w:rFonts w:hint="eastAsia"/>
        </w:rPr>
        <w:t>投资品商品交换不存在竞争性均衡</w:t>
      </w:r>
    </w:p>
    <w:p>
      <w:pPr>
        <w:rPr>
          <w:lang w:bidi="ar"/>
        </w:rPr>
      </w:pPr>
      <w:r>
        <w:t>投资品商品交换是否存在竞争性均衡是一个主观判断问题，只有把投资品商品交换这个客观问题主观定义清楚，才能回答这个问题。本文对投资品的定义为：</w:t>
      </w:r>
      <w:r>
        <w:rPr>
          <w:rFonts w:asciiTheme="minorEastAsia" w:hAnsiTheme="minorEastAsia" w:eastAsiaTheme="minorEastAsia" w:cstheme="minorEastAsia"/>
        </w:rPr>
        <w:t>被交换的次数为无限次的商品为投资品</w:t>
      </w:r>
      <w:r>
        <w:rPr>
          <w:rFonts w:hint="eastAsia" w:asciiTheme="minorEastAsia" w:hAnsiTheme="minorEastAsia" w:eastAsiaTheme="minorEastAsia" w:cstheme="minorEastAsia"/>
        </w:rPr>
        <w:t>商品</w:t>
      </w:r>
      <w:r>
        <w:rPr>
          <w:rFonts w:asciiTheme="minorEastAsia" w:hAnsiTheme="minorEastAsia" w:eastAsiaTheme="minorEastAsia" w:cstheme="minorEastAsia"/>
        </w:rPr>
        <w:t>。</w:t>
      </w:r>
      <w:r>
        <w:rPr>
          <w:rFonts w:hint="eastAsia"/>
          <w:lang w:bidi="ar"/>
        </w:rPr>
        <w:t>萨缪尔</w:t>
      </w:r>
      <w:r>
        <w:rPr>
          <w:lang w:bidi="ar"/>
        </w:rPr>
        <w:t>森</w:t>
      </w:r>
      <w:r>
        <w:rPr>
          <w:rFonts w:hint="eastAsia"/>
          <w:lang w:val="en-US" w:eastAsia="zh-CN" w:bidi="ar"/>
        </w:rPr>
        <w:t>(2010)</w:t>
      </w:r>
      <w:r>
        <w:rPr>
          <w:rFonts w:hint="eastAsia"/>
          <w:lang w:bidi="ar"/>
        </w:rPr>
        <w:t>对</w:t>
      </w:r>
      <w:r>
        <w:rPr>
          <w:lang w:bidi="ar"/>
        </w:rPr>
        <w:t>消费品</w:t>
      </w:r>
      <w:r>
        <w:rPr>
          <w:rFonts w:hint="eastAsia"/>
          <w:lang w:bidi="ar"/>
        </w:rPr>
        <w:t>效用的</w:t>
      </w:r>
      <w:r>
        <w:rPr>
          <w:lang w:bidi="ar"/>
        </w:rPr>
        <w:t>定义是</w:t>
      </w:r>
      <w:r>
        <w:rPr>
          <w:rFonts w:hint="eastAsia"/>
          <w:lang w:bidi="ar"/>
        </w:rPr>
        <w:t>：效用是一种满意度，反映消费者对商品和服务的排序。把萨缪尔</w:t>
      </w:r>
      <w:r>
        <w:rPr>
          <w:lang w:bidi="ar"/>
        </w:rPr>
        <w:t>森</w:t>
      </w:r>
      <w:r>
        <w:rPr>
          <w:rFonts w:hint="eastAsia"/>
          <w:lang w:bidi="ar"/>
        </w:rPr>
        <w:t>关于效用的定义从消费品扩展到投资品</w:t>
      </w:r>
      <w:r>
        <w:rPr>
          <w:lang w:bidi="ar"/>
        </w:rPr>
        <w:t>，本文</w:t>
      </w:r>
      <w:r>
        <w:rPr>
          <w:rFonts w:hint="eastAsia"/>
          <w:lang w:bidi="ar"/>
        </w:rPr>
        <w:t>对投资品效用的定义为：投资品效用是一种满意度，反映投资者对某项投资品的评级和排序。</w:t>
      </w:r>
    </w:p>
    <w:p>
      <w:pPr>
        <w:rPr>
          <w:lang w:bidi="ar"/>
        </w:rPr>
      </w:pPr>
      <w:r>
        <w:rPr>
          <w:lang w:bidi="ar"/>
        </w:rPr>
        <w:t>本文</w:t>
      </w:r>
      <w:r>
        <w:rPr>
          <w:rFonts w:hint="eastAsia"/>
          <w:lang w:bidi="ar"/>
        </w:rPr>
        <w:t>假设不同投资者对同一</w:t>
      </w:r>
      <w:r>
        <w:rPr>
          <w:lang w:bidi="ar"/>
        </w:rPr>
        <w:t>个</w:t>
      </w:r>
      <w:r>
        <w:rPr>
          <w:rFonts w:hint="eastAsia"/>
          <w:lang w:bidi="ar"/>
        </w:rPr>
        <w:t>投资品的主观价值判断不同，并且同一投资者不同时间对同一投资品效用的主观价值判断不同，即投资者对一个投资品效用的主观价值判断是动态变化的。</w:t>
      </w:r>
    </w:p>
    <w:p>
      <w:pPr>
        <w:rPr>
          <w:lang w:bidi="ar"/>
        </w:rPr>
      </w:pPr>
      <w:r>
        <w:rPr>
          <w:lang w:bidi="ar"/>
        </w:rPr>
        <w:t>根据上述对投资品商品交易的定义和假设，本文认为投资品商品交换不存在竞争性均衡，具体阐述过程如下：</w:t>
      </w:r>
    </w:p>
    <w:p>
      <w:pPr>
        <w:rPr>
          <w:lang w:bidi="ar"/>
        </w:rPr>
      </w:pPr>
      <w:r>
        <w:rPr>
          <w:lang w:bidi="ar"/>
        </w:rPr>
        <w:t>因为</w:t>
      </w:r>
      <w:r>
        <w:rPr>
          <w:rFonts w:hint="eastAsia"/>
          <w:lang w:bidi="ar"/>
        </w:rPr>
        <w:t>不同投资者对同一</w:t>
      </w:r>
      <w:r>
        <w:rPr>
          <w:lang w:bidi="ar"/>
        </w:rPr>
        <w:t>个</w:t>
      </w:r>
      <w:r>
        <w:rPr>
          <w:rFonts w:hint="eastAsia"/>
          <w:lang w:bidi="ar"/>
        </w:rPr>
        <w:t>投资品的主观价值判断不同，并且同一投资者不同时间对同一投资品效用的主观价值判断不同</w:t>
      </w:r>
      <w:r>
        <w:rPr>
          <w:lang w:bidi="ar"/>
        </w:rPr>
        <w:t>，因此不同时刻投资品的供应曲线和需求曲线不同，其成交价格不同，</w:t>
      </w:r>
      <w:r>
        <w:rPr>
          <w:rFonts w:hint="eastAsia"/>
          <w:lang w:bidi="ar"/>
        </w:rPr>
        <w:t>如图1-1。</w:t>
      </w:r>
    </w:p>
    <w:p>
      <w:pPr>
        <w:widowControl/>
        <w:ind w:leftChars="-50" w:hanging="105" w:hangingChars="50"/>
        <w:jc w:val="center"/>
        <w:rPr>
          <w:lang w:bidi="ar"/>
        </w:rPr>
      </w:pPr>
      <w:r>
        <w:rPr>
          <w:lang w:bidi="ar"/>
        </w:rPr>
        <w:drawing>
          <wp:inline distT="0" distB="0" distL="0" distR="0">
            <wp:extent cx="2332355" cy="201803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l="23000" t="23257" r="32694" b="8598"/>
                    <a:stretch>
                      <a:fillRect/>
                    </a:stretch>
                  </pic:blipFill>
                  <pic:spPr>
                    <a:xfrm>
                      <a:off x="0" y="0"/>
                      <a:ext cx="2332355" cy="2018140"/>
                    </a:xfrm>
                    <a:prstGeom prst="rect">
                      <a:avLst/>
                    </a:prstGeom>
                    <a:noFill/>
                    <a:ln>
                      <a:noFill/>
                    </a:ln>
                  </pic:spPr>
                </pic:pic>
              </a:graphicData>
            </a:graphic>
          </wp:inline>
        </w:drawing>
      </w:r>
    </w:p>
    <w:p>
      <w:pPr>
        <w:pStyle w:val="5"/>
        <w:ind w:firstLine="360"/>
        <w:rPr>
          <w:lang w:bidi="ar"/>
        </w:rPr>
      </w:pPr>
      <w:r>
        <w:rPr>
          <w:rFonts w:hint="eastAsia"/>
          <w:lang w:bidi="ar"/>
        </w:rPr>
        <w:t>图1-</w:t>
      </w:r>
      <w:r>
        <w:rPr>
          <w:lang w:bidi="ar"/>
        </w:rPr>
        <w:t xml:space="preserve">1 </w:t>
      </w:r>
      <w:r>
        <w:rPr>
          <w:rFonts w:hint="eastAsia"/>
          <w:lang w:bidi="ar"/>
        </w:rPr>
        <w:t>投资品的需求与供应曲线</w:t>
      </w:r>
    </w:p>
    <w:p>
      <w:pPr>
        <w:rPr>
          <w:lang w:bidi="ar"/>
        </w:rPr>
      </w:pPr>
      <w:r>
        <w:rPr>
          <w:lang w:bidi="ar"/>
        </w:rPr>
        <w:t>这样，</w:t>
      </w:r>
      <w:r>
        <w:rPr>
          <w:rFonts w:hint="eastAsia"/>
          <w:lang w:bidi="ar"/>
        </w:rPr>
        <w:t>投资品商品交易不存在一个均衡价格，当</w:t>
      </w:r>
      <w:r>
        <w:rPr>
          <w:lang w:bidi="ar"/>
        </w:rPr>
        <w:t>投资品</w:t>
      </w:r>
      <w:r>
        <w:rPr>
          <w:rFonts w:hint="eastAsia"/>
          <w:lang w:bidi="ar"/>
        </w:rPr>
        <w:t>交易价格偏离</w:t>
      </w:r>
      <w:r>
        <w:rPr>
          <w:lang w:bidi="ar"/>
        </w:rPr>
        <w:t>其</w:t>
      </w:r>
      <w:r>
        <w:rPr>
          <w:rFonts w:hint="eastAsia"/>
          <w:lang w:bidi="ar"/>
        </w:rPr>
        <w:t>均衡价格时市场交换能</w:t>
      </w:r>
      <w:r>
        <w:rPr>
          <w:lang w:bidi="ar"/>
        </w:rPr>
        <w:t>使偏离的</w:t>
      </w:r>
      <w:r>
        <w:rPr>
          <w:rFonts w:hint="eastAsia"/>
          <w:lang w:bidi="ar"/>
        </w:rPr>
        <w:t>交易价格回到均衡价格。</w:t>
      </w:r>
      <w:r>
        <w:rPr>
          <w:lang w:bidi="ar"/>
        </w:rPr>
        <w:t>经济</w:t>
      </w:r>
      <w:r>
        <w:rPr>
          <w:rFonts w:hint="eastAsia"/>
          <w:lang w:bidi="ar"/>
        </w:rPr>
        <w:t>现实中的股票，外汇，黄金等投资品商品交换比较</w:t>
      </w:r>
      <w:r>
        <w:rPr>
          <w:lang w:bidi="ar"/>
        </w:rPr>
        <w:t>符合图1-1的情形，</w:t>
      </w:r>
      <w:r>
        <w:rPr>
          <w:rFonts w:hint="eastAsia"/>
          <w:lang w:bidi="ar"/>
        </w:rPr>
        <w:t>因此</w:t>
      </w:r>
      <w:r>
        <w:rPr>
          <w:lang w:bidi="ar"/>
        </w:rPr>
        <w:t>本</w:t>
      </w:r>
      <w:r>
        <w:rPr>
          <w:rFonts w:hint="eastAsia"/>
          <w:lang w:bidi="ar"/>
        </w:rPr>
        <w:t>附录认为投资品商品交换不存在竞争性均衡。</w:t>
      </w:r>
    </w:p>
    <w:p>
      <w:pPr>
        <w:widowControl/>
        <w:ind w:leftChars="-50" w:hanging="105" w:hangingChars="50"/>
        <w:rPr>
          <w:rFonts w:ascii="宋体" w:hAnsi="宋体" w:cs="宋体"/>
        </w:rPr>
      </w:pPr>
    </w:p>
    <w:p>
      <w:pPr>
        <w:pStyle w:val="2"/>
      </w:pPr>
      <w:r>
        <w:rPr>
          <w:rFonts w:hint="eastAsia"/>
        </w:rPr>
        <w:t>附录</w:t>
      </w:r>
      <w:r>
        <w:rPr>
          <w:rFonts w:hint="eastAsia"/>
        </w:rPr>
        <w:fldChar w:fldCharType="begin"/>
      </w:r>
      <w:r>
        <w:rPr>
          <w:rFonts w:hint="eastAsia"/>
        </w:rPr>
        <w:instrText xml:space="preserve"> = 2 \* Arabic \* MERGEFORMAT </w:instrText>
      </w:r>
      <w:r>
        <w:rPr>
          <w:rFonts w:hint="eastAsia"/>
        </w:rPr>
        <w:fldChar w:fldCharType="separate"/>
      </w:r>
      <w:r>
        <w:t>2</w:t>
      </w:r>
      <w:r>
        <w:rPr>
          <w:rFonts w:hint="eastAsia"/>
        </w:rPr>
        <w:fldChar w:fldCharType="end"/>
      </w:r>
      <w:r>
        <w:t xml:space="preserve"> </w:t>
      </w:r>
      <w:r>
        <w:rPr>
          <w:rFonts w:hint="eastAsia"/>
        </w:rPr>
        <w:t>商品生产不存在</w:t>
      </w:r>
      <w:r>
        <w:t>帕累托</w:t>
      </w:r>
      <w:r>
        <w:rPr>
          <w:rFonts w:hint="eastAsia"/>
        </w:rPr>
        <w:t>优化竞争性均衡</w:t>
      </w:r>
    </w:p>
    <w:p>
      <w:pPr>
        <w:widowControl/>
        <w:jc w:val="left"/>
      </w:pPr>
      <w:r>
        <w:t>同投资品商品交换是否存在竞争性均衡的问题一样，商品生产是否存在帕累托优化竞争性均衡是一个主观问题，只有把商品生产这个客观问题主观定义清楚，才能回答这个问题。</w:t>
      </w:r>
    </w:p>
    <w:p>
      <w:pPr>
        <w:widowControl/>
        <w:jc w:val="left"/>
      </w:pPr>
      <w:r>
        <w:t>阿罗和德布鲁模型关于商品生产存在优化竞争性均衡的条件是每一种商品的生产都符合封闭凸性子集的要求。</w:t>
      </w:r>
    </w:p>
    <w:p>
      <w:pPr>
        <w:widowControl/>
        <w:jc w:val="left"/>
      </w:pPr>
      <w:r>
        <w:t>单个产品生产函数的凸性（convex）指上凸，如图附录2-1，用数学表示为：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f(</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oMath>
            <w:r>
              <w:t>+λf(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)&lt;f(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+λ</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(任何λ&gt;0，</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 xml:space="preserve">&gt;0, </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xml:space="preserve">&gt;0)   </w:t>
            </w:r>
          </w:p>
        </w:tc>
        <w:tc>
          <w:tcPr>
            <w:tcW w:w="930" w:type="dxa"/>
            <w:vAlign w:val="center"/>
          </w:tcPr>
          <w:p>
            <w:pPr>
              <w:ind w:firstLine="0" w:firstLineChars="0"/>
              <w:jc w:val="right"/>
            </w:pPr>
            <w:r>
              <w:t>(2-1)</w:t>
            </w:r>
          </w:p>
        </w:tc>
      </w:tr>
    </w:tbl>
    <w:p>
      <w:pPr>
        <w:widowControl/>
        <w:jc w:val="center"/>
        <w:rPr>
          <w:szCs w:val="21"/>
        </w:rPr>
      </w:pPr>
      <w:r>
        <w:rPr>
          <w:szCs w:val="21"/>
        </w:rPr>
        <w:drawing>
          <wp:inline distT="0" distB="0" distL="0" distR="0">
            <wp:extent cx="2308860" cy="1828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a:extLst>
                        <a:ext uri="{28A0092B-C50C-407E-A947-70E740481C1C}">
                          <a14:useLocalDpi xmlns:a14="http://schemas.microsoft.com/office/drawing/2010/main" val="0"/>
                        </a:ext>
                      </a:extLst>
                    </a:blip>
                    <a:srcRect l="21423" t="26052" r="34713" b="12199"/>
                    <a:stretch>
                      <a:fillRect/>
                    </a:stretch>
                  </pic:blipFill>
                  <pic:spPr>
                    <a:xfrm>
                      <a:off x="0" y="0"/>
                      <a:ext cx="2310163" cy="1829551"/>
                    </a:xfrm>
                    <a:prstGeom prst="rect">
                      <a:avLst/>
                    </a:prstGeom>
                    <a:noFill/>
                    <a:ln>
                      <a:noFill/>
                    </a:ln>
                  </pic:spPr>
                </pic:pic>
              </a:graphicData>
            </a:graphic>
          </wp:inline>
        </w:drawing>
      </w:r>
    </w:p>
    <w:p>
      <w:pPr>
        <w:pStyle w:val="5"/>
        <w:ind w:firstLine="360"/>
        <w:rPr>
          <w:rFonts w:eastAsia="宋体"/>
          <w:lang w:bidi="ar"/>
        </w:rPr>
      </w:pPr>
      <w:r>
        <w:rPr>
          <w:rFonts w:eastAsia="宋体"/>
          <w:lang w:bidi="ar"/>
        </w:rPr>
        <w:t>图2-1 单个产品生产函数曲线图</w:t>
      </w:r>
    </w:p>
    <w:p>
      <w:pPr>
        <w:widowControl/>
        <w:jc w:val="left"/>
        <w:rPr>
          <w:szCs w:val="21"/>
        </w:rPr>
      </w:pPr>
      <w:r>
        <w:rPr>
          <w:szCs w:val="21"/>
        </w:rPr>
        <w:t>假设有两个生产厂家，厂家1和厂家2，分别用原材料</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和</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 xml:space="preserve"> 生产商品f(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 和f(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)，两厂家合计的生产函数为f(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)，当某时刻厂家2的产品销售不出去时，两厂家合计的生产函数f(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)就突然掉下来如附录图2-2。</w:t>
      </w:r>
    </w:p>
    <w:p>
      <w:pPr>
        <w:widowControl/>
        <w:ind w:left="210" w:leftChars="100" w:firstLine="210" w:firstLineChars="100"/>
        <w:jc w:val="center"/>
        <w:rPr>
          <w:szCs w:val="21"/>
        </w:rPr>
      </w:pPr>
      <w:r>
        <w:rPr>
          <w:szCs w:val="21"/>
        </w:rPr>
        <w:drawing>
          <wp:inline distT="0" distB="0" distL="0" distR="0">
            <wp:extent cx="2410460" cy="1858010"/>
            <wp:effectExtent l="0" t="0" r="889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a:extLst>
                        <a:ext uri="{28A0092B-C50C-407E-A947-70E740481C1C}">
                          <a14:useLocalDpi xmlns:a14="http://schemas.microsoft.com/office/drawing/2010/main" val="0"/>
                        </a:ext>
                      </a:extLst>
                    </a:blip>
                    <a:srcRect l="22554" t="25250" r="31645" b="12000"/>
                    <a:stretch>
                      <a:fillRect/>
                    </a:stretch>
                  </pic:blipFill>
                  <pic:spPr>
                    <a:xfrm>
                      <a:off x="0" y="0"/>
                      <a:ext cx="2412225" cy="1859192"/>
                    </a:xfrm>
                    <a:prstGeom prst="rect">
                      <a:avLst/>
                    </a:prstGeom>
                    <a:noFill/>
                    <a:ln>
                      <a:noFill/>
                    </a:ln>
                  </pic:spPr>
                </pic:pic>
              </a:graphicData>
            </a:graphic>
          </wp:inline>
        </w:drawing>
      </w:r>
    </w:p>
    <w:p>
      <w:pPr>
        <w:pStyle w:val="5"/>
        <w:ind w:firstLine="360"/>
        <w:rPr>
          <w:rFonts w:eastAsia="宋体"/>
          <w:lang w:bidi="ar"/>
        </w:rPr>
      </w:pPr>
      <w:r>
        <w:rPr>
          <w:rFonts w:eastAsia="宋体"/>
          <w:lang w:bidi="ar"/>
        </w:rPr>
        <w:t>图2-2 两产品生产函数曲线图</w:t>
      </w:r>
    </w:p>
    <w:p>
      <w:pPr>
        <w:widowControl/>
        <w:ind w:left="210" w:leftChars="100"/>
        <w:jc w:val="left"/>
        <w:rPr>
          <w:szCs w:val="21"/>
        </w:rPr>
      </w:pPr>
      <w:r>
        <w:rPr>
          <w:szCs w:val="21"/>
        </w:rPr>
        <w:t>这种情况下，两厂家合计的生产函数f(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不满足凸性要求。把两家生产厂家扩大到n家，只要有一家生产厂家存在产品销售不出去的情况，该产品的合计生产函数曲线就不满足凸性子集的要求。这样，只要商品生产竞争存在产品销售不出去的情况，则商品生产函数曲线不满足凸性子集要求。</w:t>
      </w:r>
    </w:p>
    <w:p>
      <w:pPr>
        <w:widowControl/>
        <w:jc w:val="left"/>
      </w:pPr>
      <w:r>
        <w:rPr>
          <w:szCs w:val="21"/>
        </w:rPr>
        <w:t>下面通过</w:t>
      </w:r>
      <w:r>
        <w:t>三种典型的商品生产竞争模型分析指出商品生产竞争存在产品销售不出去的情况是普遍现象。</w:t>
      </w:r>
    </w:p>
    <w:p>
      <w:pPr>
        <w:widowControl/>
        <w:jc w:val="left"/>
      </w:pPr>
      <w:r>
        <w:t>商品生产竞争数学模型表达的是一种理想状态的商品生产竞争。商品生产竞争有很多种数学模型，这里我们讨论三种典型的商品生产竞争模型，价格共谋，古诺竞争和伯特兰德竞争。通过这三种典型的理想状态的商品生产竞争来估计现实的商品生产竞争状态。</w:t>
      </w:r>
    </w:p>
    <w:p>
      <w:pPr>
        <w:widowControl/>
        <w:jc w:val="left"/>
      </w:pPr>
      <w:r>
        <w:t>价格共谋商品生产数学模型是各厂商之间共谋控制产量以使各厂商的利润最大化，伯特兰德商品生产竞争数学模型是每个厂商都以最可能的低价去竞争以获得全部市场份额，古诺商品生产竞争模型则以竞争对手产量为给定条件寻求自己最佳产量以使自身利润最大化。下面我们分别推导一定理想条件下N个厂商价格共谋，古诺竞争和伯特兰德竞争三类数学模型的各厂商最佳商品销售量和利润。</w:t>
      </w:r>
    </w:p>
    <w:p>
      <w:r>
        <w:t>（1）N个厂商价格共谋数学模型的各厂商的最优价格，最优销量和最优利润。</w:t>
      </w:r>
    </w:p>
    <w:p>
      <w:r>
        <w:t xml:space="preserve">    理想假设每个厂商的边际单位成本都为常数c，商品的需求函数为线性函数：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w:t>
            </w:r>
          </w:p>
        </w:tc>
      </w:tr>
    </w:tbl>
    <w:p>
      <w:r>
        <w:t>则价格共谋每个厂商的产量相同：</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(2-3)</w:t>
            </w:r>
          </w:p>
        </w:tc>
      </w:tr>
    </w:tbl>
    <w:p>
      <w:r>
        <w:t>共谋总产量为：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=n</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w:p>
        </w:tc>
        <w:tc>
          <w:tcPr>
            <w:tcW w:w="930" w:type="dxa"/>
            <w:vAlign w:val="center"/>
          </w:tcPr>
          <w:p>
            <w:pPr>
              <w:ind w:firstLine="0" w:firstLineChars="0"/>
              <w:jc w:val="right"/>
            </w:pPr>
            <w:r>
              <w:t>(2-4)</w:t>
            </w:r>
          </w:p>
        </w:tc>
      </w:tr>
    </w:tbl>
    <w:p>
      <w:r>
        <w:t>设第一个厂商的利润为：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r>
                    <m:rPr/>
                    <w:rPr>
                      <w:rFonts w:ascii="Cambria Math" w:hAnsi="Cambria Math"/>
                    </w:rPr>
                    <m:t>P</m:t>
                  </m:r>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r>
              <w:t xml:space="preserve">  </w:t>
            </w:r>
          </w:p>
        </w:tc>
        <w:tc>
          <w:tcPr>
            <w:tcW w:w="930" w:type="dxa"/>
            <w:vAlign w:val="center"/>
          </w:tcPr>
          <w:p>
            <w:pPr>
              <w:ind w:firstLine="0" w:firstLineChars="0"/>
              <w:jc w:val="right"/>
            </w:pPr>
            <w:r>
              <w:t>(2-5)</w:t>
            </w:r>
          </w:p>
        </w:tc>
      </w:tr>
    </w:tbl>
    <w:p>
      <w:r>
        <w:t>将公式（2-2）代入公式（2-5）得：</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eastAsia="微软雅黑"/>
                    </w:rPr>
                    <m:t>−</m:t>
                  </m:r>
                  <m:r>
                    <m:rPr/>
                    <w:rPr>
                      <w:rFonts w:ascii="Cambria Math" w:hAnsi="Cambria Math"/>
                    </w:rPr>
                    <m:t>λn</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(2-6)</w:t>
            </w:r>
          </w:p>
        </w:tc>
      </w:tr>
    </w:tbl>
    <w:p>
      <w:r>
        <w:t>共谋厂商根据利润最大化原则确定产量，于是有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
                <m:fPr>
                  <m:ctrlPr>
                    <w:rPr>
                      <w:rFonts w:ascii="Cambria Math" w:hAnsi="Cambria Math"/>
                      <w:i/>
                    </w:rPr>
                  </m:ctrlPr>
                </m:fPr>
                <m:num>
                  <m:r>
                    <m:rPr/>
                    <w:rPr>
                      <w:rFonts w:ascii="Cambria Math" w:hAnsi="Cambria Math"/>
                    </w:rPr>
                    <m:t>∂π</m:t>
                  </m:r>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-2</w:t>
            </w:r>
            <m:oMath>
              <m:r>
                <m:rPr>
                  <m:sty m:val="p"/>
                </m:rPr>
                <w:rPr>
                  <w:rFonts w:ascii="Cambria Math" w:hAnsi="Cambria Math"/>
                </w:rPr>
                <m:t>nλ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=0</w:t>
            </w:r>
          </w:p>
        </w:tc>
        <w:tc>
          <w:tcPr>
            <w:tcW w:w="930" w:type="dxa"/>
            <w:vAlign w:val="center"/>
          </w:tcPr>
          <w:p>
            <w:pPr>
              <w:ind w:firstLine="0" w:firstLineChars="0"/>
              <w:jc w:val="right"/>
            </w:pPr>
            <w:r>
              <w:t>(2-7)</w:t>
            </w:r>
          </w:p>
        </w:tc>
      </w:tr>
    </w:tbl>
    <w:p>
      <w:r>
        <w:t>解得价格共谋数学模型每个厂商的最优产量为：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/2nλ</m:t>
              </m:r>
            </m:oMath>
          </w:p>
        </w:tc>
        <w:tc>
          <w:tcPr>
            <w:tcW w:w="930" w:type="dxa"/>
            <w:vAlign w:val="center"/>
          </w:tcPr>
          <w:p>
            <w:pPr>
              <w:ind w:firstLine="0" w:firstLineChars="0"/>
              <w:jc w:val="right"/>
            </w:pPr>
            <w:r>
              <w:t>(2-8)</w:t>
            </w:r>
          </w:p>
        </w:tc>
      </w:tr>
    </w:tbl>
    <w:p>
      <w:r>
        <w:t>将（附2-8）代入（附2-2）得价格共谋数学模型的最优价格为：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/2</m:t>
              </m:r>
            </m:oMath>
          </w:p>
        </w:tc>
        <w:tc>
          <w:tcPr>
            <w:tcW w:w="930" w:type="dxa"/>
            <w:vAlign w:val="center"/>
          </w:tcPr>
          <w:p>
            <w:pPr>
              <w:ind w:firstLine="0" w:firstLineChars="0"/>
              <w:jc w:val="right"/>
            </w:pPr>
            <w:r>
              <w:t>(2-9)</w:t>
            </w:r>
          </w:p>
        </w:tc>
      </w:tr>
    </w:tbl>
    <w:p>
      <w:r>
        <w:t>因此价格共谋数学模型每个厂商的最优利润为：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/4nλ</m:t>
              </m:r>
            </m:oMath>
          </w:p>
        </w:tc>
        <w:tc>
          <w:tcPr>
            <w:tcW w:w="930" w:type="dxa"/>
            <w:vAlign w:val="center"/>
          </w:tcPr>
          <w:p>
            <w:pPr>
              <w:ind w:firstLine="0" w:firstLineChars="0"/>
              <w:jc w:val="right"/>
            </w:pPr>
            <w:r>
              <w:t>(2-10)</w:t>
            </w:r>
          </w:p>
        </w:tc>
      </w:tr>
    </w:tbl>
    <w:p>
      <w:r>
        <w:t>价格共谋商品生产模型小结：在上述理想条件下价格共谋商品生产数学模型里，随着竞争厂商数量n的增加，每个厂商的最优销量和最优利润将与n成反比下降，具体计算公式为方程（附2-8）和（附2-10），即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的整体利润，而整体利润（</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/4λ</m:t>
        </m:r>
      </m:oMath>
      <w:r>
        <w:t>是固定的。</w:t>
      </w:r>
    </w:p>
    <w:p>
      <w:r>
        <w:t>（2）N个厂商古诺竞争商品生产模型各厂商的优化价格，优化销量和优化利润。</w:t>
      </w:r>
    </w:p>
    <w:p>
      <w:r>
        <w:t>理想假设每个厂商的边际单位成本相同并为常数c，商品的需求函数为线性函数：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(2-11)</w:t>
            </w:r>
          </w:p>
        </w:tc>
      </w:tr>
    </w:tbl>
    <w:p>
      <w:r>
        <w:t>设每个生产商的产量分别为：</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p>
      <w:r>
        <w:t>则总产量为：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Q=</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(2-12)</w:t>
            </w:r>
          </w:p>
        </w:tc>
      </w:tr>
    </w:tbl>
    <w:p>
      <w:r>
        <w:t>各厂商的利润方程分别为：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p>
        </w:tc>
        <w:tc>
          <w:tcPr>
            <w:tcW w:w="930" w:type="dxa"/>
            <w:vAlign w:val="center"/>
          </w:tcPr>
          <w:p>
            <w:pPr>
              <w:ind w:firstLine="0" w:firstLineChars="0"/>
              <w:jc w:val="right"/>
            </w:pPr>
            <w: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tc>
        <w:tc>
          <w:tcPr>
            <w:tcW w:w="930" w:type="dxa"/>
            <w:vAlign w:val="center"/>
          </w:tcPr>
          <w:p>
            <w:pPr>
              <w:ind w:firstLine="0" w:firstLineChars="0"/>
              <w:jc w:val="right"/>
            </w:pPr>
            <w:r>
              <w:t>(2-15)</w:t>
            </w:r>
          </w:p>
        </w:tc>
      </w:tr>
    </w:tbl>
    <w:p>
      <w:r>
        <w:t>将 (附2-11) ，（附2-12）式分别代入 (附2-13)， (附2-14)，（附2-15） 式</w:t>
      </w:r>
    </w:p>
    <w:p>
      <w:r>
        <w:t>可得出每个厂商的利润与产量的相关函数：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pPr>
            <m:oMath>
              <m:r>
                <m:rPr/>
                <w:rPr>
                  <w:rFonts w:ascii="Cambria Math" w:hAnsi="Cambria Math"/>
                </w:rPr>
                <m:t xml:space="preserve">      </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oMath>
          </w:p>
        </w:tc>
        <w:tc>
          <w:tcPr>
            <w:tcW w:w="930" w:type="dxa"/>
            <w:vAlign w:val="center"/>
          </w:tcPr>
          <w:p>
            <w:pPr>
              <w:ind w:firstLine="0" w:firstLineChars="0"/>
              <w:jc w:val="right"/>
            </w:pPr>
          </w:p>
        </w:tc>
      </w:tr>
    </w:tbl>
    <w:p>
      <w:r>
        <w:t>每个厂商根据自身利润最大化原则来调整产量，于是有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jc w:val="center"/>
            </w:pP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rPr>
                <w:szCs w:val="21"/>
              </w:rPr>
              <w:t xml:space="preserve">         </w:t>
            </w:r>
            <m:oMath>
              <m:r>
                <m:rPr/>
                <w:rPr>
                  <w:rFonts w:ascii="Cambria Math" w:hAnsi="Cambria Math"/>
                  <w:szCs w:val="21"/>
                </w:rPr>
                <m:t xml:space="preserve">  </m:t>
              </m:r>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bl>
    <w:p>
      <w:r>
        <w:t>解得每个厂商的最大产量为：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oMath>
            <w:r>
              <w:t xml:space="preserve"> =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–c) / (n+1)λ</w:t>
            </w:r>
          </w:p>
        </w:tc>
        <w:tc>
          <w:tcPr>
            <w:tcW w:w="930" w:type="dxa"/>
            <w:vAlign w:val="center"/>
          </w:tcPr>
          <w:p>
            <w:pPr>
              <w:ind w:firstLine="0" w:firstLineChars="0"/>
              <w:jc w:val="right"/>
            </w:pPr>
            <w:r>
              <w:t>(2-16)</w:t>
            </w:r>
          </w:p>
        </w:tc>
      </w:tr>
    </w:tbl>
    <w:p>
      <w:r>
        <w:t>解得古诺竞争的最佳价格为：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num>
                <m:den>
                  <m:r>
                    <m:rPr/>
                    <w:rPr>
                      <w:rFonts w:ascii="Cambria Math" w:hAnsi="Cambria Math"/>
                    </w:rPr>
                    <m:t>n+1</m:t>
                  </m:r>
                  <m:ctrlPr>
                    <w:rPr>
                      <w:rFonts w:ascii="Cambria Math" w:hAnsi="Cambria Math"/>
                      <w:i/>
                    </w:rPr>
                  </m:ctrlPr>
                </m:den>
              </m:f>
            </m:oMath>
            <w:r>
              <w:t xml:space="preserve"> +c</w:t>
            </w:r>
            <m:oMath>
              <m:f>
                <m:fPr>
                  <m:ctrlPr>
                    <w:rPr>
                      <w:rFonts w:ascii="Cambria Math" w:hAnsi="Cambria Math"/>
                      <w:i/>
                    </w:rPr>
                  </m:ctrlPr>
                </m:fPr>
                <m:num>
                  <m:r>
                    <m:rPr/>
                    <w:rPr>
                      <w:rFonts w:ascii="Cambria Math" w:hAnsi="Cambria Math"/>
                    </w:rPr>
                    <m:t>n</m:t>
                  </m:r>
                  <m:ctrlPr>
                    <w:rPr>
                      <w:rFonts w:ascii="Cambria Math" w:hAnsi="Cambria Math"/>
                      <w:i/>
                    </w:rPr>
                  </m:ctrlPr>
                </m:num>
                <m:den>
                  <m:r>
                    <m:rPr/>
                    <w:rPr>
                      <w:rFonts w:ascii="Cambria Math" w:hAnsi="Cambria Math"/>
                    </w:rPr>
                    <m:t>n+1</m:t>
                  </m:r>
                  <m:ctrlPr>
                    <w:rPr>
                      <w:rFonts w:ascii="Cambria Math" w:hAnsi="Cambria Math"/>
                      <w:i/>
                    </w:rPr>
                  </m:ctrlPr>
                </m:den>
              </m:f>
            </m:oMath>
          </w:p>
        </w:tc>
        <w:tc>
          <w:tcPr>
            <w:tcW w:w="930" w:type="dxa"/>
            <w:vAlign w:val="center"/>
          </w:tcPr>
          <w:p>
            <w:pPr>
              <w:ind w:firstLine="0" w:firstLineChars="0"/>
              <w:jc w:val="right"/>
            </w:pPr>
            <w:r>
              <w:t>(2-17)</w:t>
            </w:r>
          </w:p>
        </w:tc>
      </w:tr>
    </w:tbl>
    <w:p>
      <w:r>
        <w:t>解得古诺竞争每个厂商的最佳利润为：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eastAsia="微软雅黑"/>
                </w:rPr>
                <m:t>−−−</m:t>
              </m:r>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rPr>
                <w:rFonts w:hint="eastAsia"/>
              </w:rPr>
              <w:t xml:space="preserve"> </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p>
        </w:tc>
        <w:tc>
          <w:tcPr>
            <w:tcW w:w="930" w:type="dxa"/>
            <w:vAlign w:val="center"/>
          </w:tcPr>
          <w:p>
            <w:pPr>
              <w:ind w:firstLine="0" w:firstLineChars="0"/>
              <w:jc w:val="right"/>
            </w:pPr>
            <w:r>
              <w:t>(2-18)</w:t>
            </w:r>
          </w:p>
        </w:tc>
      </w:tr>
    </w:tbl>
    <w:p>
      <w:r>
        <w:t>古诺竞争商品生产模型小结：在上述理想条件下n个厂商的古诺竞争商品生产模型里，各厂商的优化利润随厂商数n量的增加而与n近似成反比下降,具体计算为</w:t>
      </w:r>
      <w:r>
        <w:rPr>
          <w:rFonts w:hint="eastAsia"/>
        </w:rPr>
        <w:t>公式</w:t>
      </w:r>
      <w:r>
        <w:t>2-19</w:t>
      </w:r>
      <w:r>
        <w:rPr>
          <w:rFonts w:hint="eastAsia"/>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p>
        </w:tc>
        <w:tc>
          <w:tcPr>
            <w:tcW w:w="930" w:type="dxa"/>
            <w:vAlign w:val="center"/>
          </w:tcPr>
          <w:p>
            <w:pPr>
              <w:ind w:firstLine="0" w:firstLineChars="0"/>
              <w:jc w:val="right"/>
            </w:pPr>
            <w:r>
              <w:t>(2-19)</w:t>
            </w:r>
          </w:p>
        </w:tc>
      </w:tr>
    </w:tbl>
    <w:p>
      <w:r>
        <w:t>当n足够大时，每个厂商仅获得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的近似不随n改变而变化的整体利润</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t>。因为</w:t>
      </w: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r>
        <w:t xml:space="preserve"> 。</w:t>
      </w:r>
    </w:p>
    <w:p>
      <w:r>
        <w:t>（3）N个厂商伯特兰德竞争商品生产模型各厂商的均衡价格，均衡销量和均衡利润。</w:t>
      </w:r>
    </w:p>
    <w:p>
      <w:pPr>
        <w:ind w:left="210" w:leftChars="100" w:firstLine="210" w:firstLineChars="100"/>
      </w:pPr>
      <w:r>
        <w:t>伯特兰德竞争模型是每个厂商都以最可能的低价去竞争以获得全部市场份额，理想状态下设N个厂商的边际单位成本分别为常数</w:t>
      </w:r>
      <m:oMath>
        <m:r>
          <m:rPr>
            <m:sty m:val="p"/>
          </m:rPr>
          <w:rPr>
            <w:rFonts w:ascii="Cambria Math" w:hAnsi="Cambria Math"/>
          </w:rPr>
          <m:t xml:space="preserve">： </m:t>
        </m:r>
      </m:oMath>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w:r>
              <w:rPr>
                <w:rFonts w:hint="eastAsia" w:ascii="宋体" w:hAnsi="宋体" w:cs="宋体"/>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(2-20)</w:t>
            </w:r>
          </w:p>
        </w:tc>
      </w:tr>
    </w:tbl>
    <w:p>
      <w:r>
        <w:t>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(2-21)</w:t>
            </w:r>
          </w:p>
        </w:tc>
      </w:tr>
    </w:tbl>
    <w:p>
      <w:r>
        <w:t>则市场的均衡价格为第二个厂商的边际成本：</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m:oMathPara>
          </w:p>
        </w:tc>
        <w:tc>
          <w:tcPr>
            <w:tcW w:w="930" w:type="dxa"/>
            <w:vAlign w:val="center"/>
          </w:tcPr>
          <w:p>
            <w:pPr>
              <w:ind w:firstLine="0" w:firstLineChars="0"/>
              <w:jc w:val="right"/>
            </w:pPr>
            <w:r>
              <w:t>(2-22)</w:t>
            </w:r>
          </w:p>
        </w:tc>
      </w:tr>
    </w:tbl>
    <w:p>
      <w:r>
        <w:t>将方程（附2-18）代入方程（附2-17）得第一个厂商的产量方程为：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w:p>
        </w:tc>
        <w:tc>
          <w:tcPr>
            <w:tcW w:w="930" w:type="dxa"/>
            <w:vAlign w:val="center"/>
          </w:tcPr>
          <w:p>
            <w:pPr>
              <w:ind w:firstLine="0" w:firstLineChars="0"/>
              <w:jc w:val="right"/>
            </w:pPr>
            <w:r>
              <w:t>(2-23)</w:t>
            </w:r>
          </w:p>
        </w:tc>
      </w:tr>
    </w:tbl>
    <w:p>
      <w:r>
        <w:t>求得第一个厂商的最佳产量为：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m:oMath>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(2-24)</w:t>
            </w:r>
          </w:p>
        </w:tc>
      </w:tr>
    </w:tbl>
    <w:p>
      <w:r>
        <w:t>第一个厂商的最佳利润为：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rPr>
                  </m:ctrlPr>
                </m:sSubPr>
                <m:e>
                  <m:r>
                    <m:rPr>
                      <m:sty m:val="p"/>
                    </m:rPr>
                    <w:rPr>
                      <w:rFonts w:ascii="Cambria Math" w:hAnsi="Cambria Math"/>
                    </w:rPr>
                    <m:t>π</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(2-25)</w:t>
            </w:r>
          </w:p>
        </w:tc>
      </w:tr>
    </w:tbl>
    <w:p>
      <w:r>
        <w:t>其它厂商的产量为零，利润为零。</w:t>
      </w:r>
    </w:p>
    <w:p>
      <w:r>
        <w:t>伯特兰德竞争商品生产模型小结：在上述理想条件下n个厂商的伯特兰德竞争的数学模型里，成本第一低的厂商获得全部市场份额，市场均衡销售价格为成本第二低厂商的成本</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，成本第一低厂商的单位利润为(</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)。在伯特兰德竞争商品生产模型里，生产成本高的厂商存在产品销售不出去的情况。</w:t>
      </w:r>
    </w:p>
    <w:p>
      <w:r>
        <w:t>在价格共谋和古诺竞争数学模型里，当生产厂家n比较大时，必然有厂家不满足获得1/n总体利润而降价以获得更多的市场份额和利润，因此上述价格共谋和古诺竞争各厂商的产量和利润最优解不是稳定解，即价格共谋和古诺竞争两种商品生产模型不可能长期维持，最终这两种商品生产竞争模型都将走向伯特兰德竞争。</w:t>
      </w:r>
    </w:p>
    <w:p>
      <w:r>
        <w:t>但伯特兰德竞争均衡也是一种理想情况。现实的商品生产竞争不会出现理想状态的伯特兰德竞争均衡，而是古诺竞争与伯特兰德竞争的混合状态。至于怎样的混合状态则由具体商品的综合情况决定。但有一点是肯定的，竞争力弱的厂家将存在产品销售不出去的情况，即该商品合计的生产函数曲线将不满足性凸性子集的要求，不能实现优化竞争性均衡。</w:t>
      </w:r>
    </w:p>
    <w:p>
      <w:r>
        <w:t>从物理意义上讲，市场经济的商品生产竞争是个优胜劣汰机制，必然存在竞争力弱的产品销售不出去的情况，不可能实现帕累托优化竞争性均衡。</w:t>
      </w:r>
    </w:p>
    <w:p>
      <w:r>
        <w:t>综合以上所述，本附录认为商品生产竞争不能实现帕累托优化竞争性均衡。</w:t>
      </w:r>
    </w:p>
    <w:p>
      <w:r>
        <w:t>本附录对商品生产竞争分析还有一个重要结论：社会需求决定社会产出。</w:t>
      </w:r>
    </w:p>
    <w:p>
      <w:pPr>
        <w:pStyle w:val="24"/>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0" w:num="1"/>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DE71BB34-AC93-4B70-9114-69C9E5777B88}"/>
  </w:font>
  <w:font w:name="仿宋">
    <w:panose1 w:val="02010609060101010101"/>
    <w:charset w:val="86"/>
    <w:family w:val="modern"/>
    <w:pitch w:val="default"/>
    <w:sig w:usb0="800002BF" w:usb1="38CF7CFA" w:usb2="00000016" w:usb3="00000000" w:csb0="00040001" w:csb1="00000000"/>
    <w:embedRegular r:id="rId2" w:fontKey="{2E17AEB0-CEA8-48BB-983F-569B7BB843E3}"/>
  </w:font>
  <w:font w:name="方正楷体_GB2312">
    <w:panose1 w:val="02000000000000000000"/>
    <w:charset w:val="86"/>
    <w:family w:val="auto"/>
    <w:pitch w:val="default"/>
    <w:sig w:usb0="A00002BF" w:usb1="184F6CFA" w:usb2="00000012" w:usb3="00000000" w:csb0="00040001" w:csb1="00000000"/>
    <w:embedRegular r:id="rId3" w:fontKey="{C9796463-1FF2-4A57-8658-F1FD4696E47C}"/>
  </w:font>
  <w:font w:name="Cambria Math">
    <w:panose1 w:val="02040503050406030204"/>
    <w:charset w:val="00"/>
    <w:family w:val="roman"/>
    <w:pitch w:val="default"/>
    <w:sig w:usb0="E00006FF" w:usb1="420024FF" w:usb2="02000000" w:usb3="00000000" w:csb0="2000019F" w:csb1="00000000"/>
    <w:embedRegular r:id="rId4" w:fontKey="{E395B0DB-918F-46F5-83CD-80F944EFD6E0}"/>
  </w:font>
  <w:font w:name="MS Gothic">
    <w:panose1 w:val="020B0609070205080204"/>
    <w:charset w:val="80"/>
    <w:family w:val="modern"/>
    <w:pitch w:val="default"/>
    <w:sig w:usb0="E00002FF" w:usb1="6AC7FDFB" w:usb2="08000012" w:usb3="00000000" w:csb0="4002009F" w:csb1="DFD70000"/>
    <w:embedRegular r:id="rId5" w:fontKey="{07714EB3-427C-47C8-9825-AD930DC01C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2B67B"/>
    <w:multiLevelType w:val="singleLevel"/>
    <w:tmpl w:val="9312B67B"/>
    <w:lvl w:ilvl="0" w:tentative="0">
      <w:start w:val="8"/>
      <w:numFmt w:val="chineseCounting"/>
      <w:suff w:val="nothing"/>
      <w:lvlText w:val="（%1）"/>
      <w:lvlJc w:val="left"/>
      <w:pPr>
        <w:ind w:left="420" w:leftChars="0" w:firstLine="0" w:firstLineChars="0"/>
      </w:pPr>
      <w:rPr>
        <w:rFonts w:hint="eastAsia"/>
      </w:rPr>
    </w:lvl>
  </w:abstractNum>
  <w:abstractNum w:abstractNumId="1">
    <w:nsid w:val="D669FDF2"/>
    <w:multiLevelType w:val="singleLevel"/>
    <w:tmpl w:val="D669FDF2"/>
    <w:lvl w:ilvl="0" w:tentative="0">
      <w:start w:val="2"/>
      <w:numFmt w:val="chineseCounting"/>
      <w:suff w:val="nothing"/>
      <w:lvlText w:val="（%1）"/>
      <w:lvlJc w:val="left"/>
      <w:rPr>
        <w:rFonts w:hint="eastAsia"/>
      </w:rPr>
    </w:lvl>
  </w:abstractNum>
  <w:abstractNum w:abstractNumId="2">
    <w:nsid w:val="04987266"/>
    <w:multiLevelType w:val="multilevel"/>
    <w:tmpl w:val="04987266"/>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72D6E4F"/>
    <w:multiLevelType w:val="multilevel"/>
    <w:tmpl w:val="672D6E4F"/>
    <w:lvl w:ilvl="0" w:tentative="0">
      <w:start w:val="1"/>
      <w:numFmt w:val="decimal"/>
      <w:lvlText w:val="%1."/>
      <w:lvlJc w:val="left"/>
      <w:pPr>
        <w:ind w:left="780" w:hanging="360"/>
      </w:pPr>
      <w:rPr>
        <w:rFonts w:hint="eastAsia"/>
        <w:spacing w:val="0"/>
        <w:kern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210"/>
  <w:drawingGridVerticalSpacing w:val="194"/>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MzVmMTRjMTEyY2Y5MWE2OTA1YzY4NjQ3YWQ5NGQifQ=="/>
    <w:docVar w:name="EN.InstantFormat" w:val="&lt;ENInstantFormat&gt;&lt;Enabled&gt;1&lt;/Enabled&gt;&lt;ScanUnformatted&gt;1&lt;/ScanUnformatted&gt;&lt;ScanChanges&gt;1&lt;/ScanChanges&gt;&lt;Suspended&gt;0&lt;/Suspended&gt;&lt;/ENInstantFormat&gt;"/>
    <w:docVar w:name="EN.Layout" w:val="&lt;ENLayout&gt;&lt;Style&gt;APA 6th 基金&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w50pzpwrep2aeerx4v2xdyaa5vzeftr0xv&quot;&gt;钨小论文&lt;record-ids&gt;&lt;item&gt;939&lt;/item&gt;&lt;item&gt;941&lt;/item&gt;&lt;item&gt;942&lt;/item&gt;&lt;item&gt;943&lt;/item&gt;&lt;item&gt;944&lt;/item&gt;&lt;item&gt;945&lt;/item&gt;&lt;item&gt;946&lt;/item&gt;&lt;item&gt;949&lt;/item&gt;&lt;item&gt;950&lt;/item&gt;&lt;item&gt;951&lt;/item&gt;&lt;item&gt;952&lt;/item&gt;&lt;item&gt;953&lt;/item&gt;&lt;item&gt;954&lt;/item&gt;&lt;item&gt;955&lt;/item&gt;&lt;item&gt;956&lt;/item&gt;&lt;item&gt;957&lt;/item&gt;&lt;item&gt;958&lt;/item&gt;&lt;item&gt;959&lt;/item&gt;&lt;item&gt;960&lt;/item&gt;&lt;item&gt;961&lt;/item&gt;&lt;item&gt;962&lt;/item&gt;&lt;item&gt;963&lt;/item&gt;&lt;item&gt;965&lt;/item&gt;&lt;item&gt;966&lt;/item&gt;&lt;item&gt;967&lt;/item&gt;&lt;item&gt;968&lt;/item&gt;&lt;item&gt;969&lt;/item&gt;&lt;item&gt;971&lt;/item&gt;&lt;/record-ids&gt;&lt;/item&gt;&lt;/Libraries&gt;"/>
  </w:docVars>
  <w:rsids>
    <w:rsidRoot w:val="1AA24D9F"/>
    <w:rsid w:val="0000495A"/>
    <w:rsid w:val="00004CD9"/>
    <w:rsid w:val="00032E45"/>
    <w:rsid w:val="00033E77"/>
    <w:rsid w:val="00035030"/>
    <w:rsid w:val="000359BE"/>
    <w:rsid w:val="00045B96"/>
    <w:rsid w:val="00072A74"/>
    <w:rsid w:val="000968CA"/>
    <w:rsid w:val="000F24FB"/>
    <w:rsid w:val="000F2AB6"/>
    <w:rsid w:val="00111A20"/>
    <w:rsid w:val="00142084"/>
    <w:rsid w:val="00143030"/>
    <w:rsid w:val="00164B5A"/>
    <w:rsid w:val="001736C3"/>
    <w:rsid w:val="00184558"/>
    <w:rsid w:val="00194A3E"/>
    <w:rsid w:val="001A1518"/>
    <w:rsid w:val="001B7CB6"/>
    <w:rsid w:val="001C3263"/>
    <w:rsid w:val="002165A7"/>
    <w:rsid w:val="00234BC0"/>
    <w:rsid w:val="00280CFF"/>
    <w:rsid w:val="00281BB6"/>
    <w:rsid w:val="002C4806"/>
    <w:rsid w:val="002D64F7"/>
    <w:rsid w:val="002F39AC"/>
    <w:rsid w:val="003376DF"/>
    <w:rsid w:val="00355D09"/>
    <w:rsid w:val="00364176"/>
    <w:rsid w:val="003654D0"/>
    <w:rsid w:val="00367CE5"/>
    <w:rsid w:val="003A290A"/>
    <w:rsid w:val="003C6D96"/>
    <w:rsid w:val="003D3029"/>
    <w:rsid w:val="003E77DD"/>
    <w:rsid w:val="0041435A"/>
    <w:rsid w:val="00414CFA"/>
    <w:rsid w:val="00425F9A"/>
    <w:rsid w:val="00434B47"/>
    <w:rsid w:val="00473031"/>
    <w:rsid w:val="00484E6D"/>
    <w:rsid w:val="00485799"/>
    <w:rsid w:val="004B1B4E"/>
    <w:rsid w:val="004E75CE"/>
    <w:rsid w:val="00503FCE"/>
    <w:rsid w:val="00553E4D"/>
    <w:rsid w:val="005574FC"/>
    <w:rsid w:val="00557607"/>
    <w:rsid w:val="005874E2"/>
    <w:rsid w:val="005875F3"/>
    <w:rsid w:val="005C4294"/>
    <w:rsid w:val="0061178D"/>
    <w:rsid w:val="006605F8"/>
    <w:rsid w:val="006A7E66"/>
    <w:rsid w:val="006D06A9"/>
    <w:rsid w:val="006F0C5B"/>
    <w:rsid w:val="006F536C"/>
    <w:rsid w:val="00715616"/>
    <w:rsid w:val="00725F2D"/>
    <w:rsid w:val="007D21EE"/>
    <w:rsid w:val="007F491E"/>
    <w:rsid w:val="00812A50"/>
    <w:rsid w:val="0082040D"/>
    <w:rsid w:val="00831296"/>
    <w:rsid w:val="008920BB"/>
    <w:rsid w:val="00896005"/>
    <w:rsid w:val="008C51E0"/>
    <w:rsid w:val="008D0051"/>
    <w:rsid w:val="008E0850"/>
    <w:rsid w:val="008F2B7F"/>
    <w:rsid w:val="008F5B48"/>
    <w:rsid w:val="00932927"/>
    <w:rsid w:val="0095139E"/>
    <w:rsid w:val="009727E8"/>
    <w:rsid w:val="009D710C"/>
    <w:rsid w:val="00A03C22"/>
    <w:rsid w:val="00A26808"/>
    <w:rsid w:val="00A91F23"/>
    <w:rsid w:val="00AB5942"/>
    <w:rsid w:val="00AD0B32"/>
    <w:rsid w:val="00AF21F5"/>
    <w:rsid w:val="00B14EB7"/>
    <w:rsid w:val="00B37E77"/>
    <w:rsid w:val="00B46918"/>
    <w:rsid w:val="00B667CD"/>
    <w:rsid w:val="00B77A57"/>
    <w:rsid w:val="00BA4809"/>
    <w:rsid w:val="00BD1269"/>
    <w:rsid w:val="00BD673E"/>
    <w:rsid w:val="00C138AD"/>
    <w:rsid w:val="00C3759B"/>
    <w:rsid w:val="00C415E4"/>
    <w:rsid w:val="00C4721D"/>
    <w:rsid w:val="00C51520"/>
    <w:rsid w:val="00C673CF"/>
    <w:rsid w:val="00CA3562"/>
    <w:rsid w:val="00CE0E0B"/>
    <w:rsid w:val="00D656CA"/>
    <w:rsid w:val="00D87CB6"/>
    <w:rsid w:val="00DA4048"/>
    <w:rsid w:val="00DA449A"/>
    <w:rsid w:val="00DE13F5"/>
    <w:rsid w:val="00DE17A8"/>
    <w:rsid w:val="00E10126"/>
    <w:rsid w:val="00E62B8D"/>
    <w:rsid w:val="00E741E2"/>
    <w:rsid w:val="00E77949"/>
    <w:rsid w:val="00E93DB9"/>
    <w:rsid w:val="00EA46C2"/>
    <w:rsid w:val="00EC6C38"/>
    <w:rsid w:val="00ED53C8"/>
    <w:rsid w:val="00EE3C2A"/>
    <w:rsid w:val="00EF6C24"/>
    <w:rsid w:val="00F15FB9"/>
    <w:rsid w:val="00F20A04"/>
    <w:rsid w:val="00F4254E"/>
    <w:rsid w:val="00F65F5E"/>
    <w:rsid w:val="00FF1F8D"/>
    <w:rsid w:val="013A706B"/>
    <w:rsid w:val="01414A03"/>
    <w:rsid w:val="01542D94"/>
    <w:rsid w:val="01565F5C"/>
    <w:rsid w:val="01566568"/>
    <w:rsid w:val="015D0D5E"/>
    <w:rsid w:val="01781474"/>
    <w:rsid w:val="017916A6"/>
    <w:rsid w:val="017B2312"/>
    <w:rsid w:val="01944054"/>
    <w:rsid w:val="01A43649"/>
    <w:rsid w:val="01D31E0E"/>
    <w:rsid w:val="01DB2881"/>
    <w:rsid w:val="01DF4FF0"/>
    <w:rsid w:val="01E2048B"/>
    <w:rsid w:val="01E37D82"/>
    <w:rsid w:val="01EA5991"/>
    <w:rsid w:val="0228070C"/>
    <w:rsid w:val="023F66B6"/>
    <w:rsid w:val="0248315D"/>
    <w:rsid w:val="0261662C"/>
    <w:rsid w:val="02642AA9"/>
    <w:rsid w:val="02663402"/>
    <w:rsid w:val="02907ECF"/>
    <w:rsid w:val="02B900CD"/>
    <w:rsid w:val="02ED2DDB"/>
    <w:rsid w:val="03045209"/>
    <w:rsid w:val="03197D80"/>
    <w:rsid w:val="03231B33"/>
    <w:rsid w:val="037216E9"/>
    <w:rsid w:val="037460D1"/>
    <w:rsid w:val="03822CFE"/>
    <w:rsid w:val="03880463"/>
    <w:rsid w:val="03887BE8"/>
    <w:rsid w:val="03966344"/>
    <w:rsid w:val="03A55E7A"/>
    <w:rsid w:val="03AE7116"/>
    <w:rsid w:val="03C3096B"/>
    <w:rsid w:val="03DC16D6"/>
    <w:rsid w:val="03EA6562"/>
    <w:rsid w:val="03FB51F8"/>
    <w:rsid w:val="04057F5F"/>
    <w:rsid w:val="0419633C"/>
    <w:rsid w:val="042518DB"/>
    <w:rsid w:val="043A7135"/>
    <w:rsid w:val="044773B2"/>
    <w:rsid w:val="04604903"/>
    <w:rsid w:val="049A0466"/>
    <w:rsid w:val="04A22F2C"/>
    <w:rsid w:val="04D00599"/>
    <w:rsid w:val="04EA3DA3"/>
    <w:rsid w:val="04FC443D"/>
    <w:rsid w:val="051E38D6"/>
    <w:rsid w:val="05216909"/>
    <w:rsid w:val="05255908"/>
    <w:rsid w:val="052A1EA2"/>
    <w:rsid w:val="052E636D"/>
    <w:rsid w:val="05340028"/>
    <w:rsid w:val="05355B4E"/>
    <w:rsid w:val="053A4159"/>
    <w:rsid w:val="053E43B8"/>
    <w:rsid w:val="05452235"/>
    <w:rsid w:val="054D05CE"/>
    <w:rsid w:val="057B0FEA"/>
    <w:rsid w:val="057B7801"/>
    <w:rsid w:val="05852631"/>
    <w:rsid w:val="058B3A80"/>
    <w:rsid w:val="05A72198"/>
    <w:rsid w:val="05AB7BBE"/>
    <w:rsid w:val="05DE2492"/>
    <w:rsid w:val="05DE61E6"/>
    <w:rsid w:val="05ED01D7"/>
    <w:rsid w:val="05FE47CF"/>
    <w:rsid w:val="06144D22"/>
    <w:rsid w:val="06216017"/>
    <w:rsid w:val="06377F67"/>
    <w:rsid w:val="063B35DF"/>
    <w:rsid w:val="065F10D4"/>
    <w:rsid w:val="06604E4C"/>
    <w:rsid w:val="0667442D"/>
    <w:rsid w:val="067A1050"/>
    <w:rsid w:val="06B06DC8"/>
    <w:rsid w:val="06B4491D"/>
    <w:rsid w:val="06B83A6E"/>
    <w:rsid w:val="06BA1363"/>
    <w:rsid w:val="06C158EB"/>
    <w:rsid w:val="06C61153"/>
    <w:rsid w:val="06E536AB"/>
    <w:rsid w:val="06E75D88"/>
    <w:rsid w:val="06F34995"/>
    <w:rsid w:val="06F75BA2"/>
    <w:rsid w:val="07011CC2"/>
    <w:rsid w:val="070B5E85"/>
    <w:rsid w:val="07347229"/>
    <w:rsid w:val="073C7FDB"/>
    <w:rsid w:val="07541680"/>
    <w:rsid w:val="07554285"/>
    <w:rsid w:val="07644792"/>
    <w:rsid w:val="076F3599"/>
    <w:rsid w:val="07730ECD"/>
    <w:rsid w:val="07763F1B"/>
    <w:rsid w:val="078C305E"/>
    <w:rsid w:val="078F1E3A"/>
    <w:rsid w:val="0795242B"/>
    <w:rsid w:val="079C262E"/>
    <w:rsid w:val="07AA637F"/>
    <w:rsid w:val="07CD02C0"/>
    <w:rsid w:val="07D279C7"/>
    <w:rsid w:val="07DC15D4"/>
    <w:rsid w:val="07DD2E1C"/>
    <w:rsid w:val="07EBA019"/>
    <w:rsid w:val="07F41CF0"/>
    <w:rsid w:val="08001072"/>
    <w:rsid w:val="08013A0C"/>
    <w:rsid w:val="0804576E"/>
    <w:rsid w:val="080812F8"/>
    <w:rsid w:val="08145EEF"/>
    <w:rsid w:val="08242A95"/>
    <w:rsid w:val="08420257"/>
    <w:rsid w:val="08514CBB"/>
    <w:rsid w:val="08777532"/>
    <w:rsid w:val="08986B20"/>
    <w:rsid w:val="089D4136"/>
    <w:rsid w:val="08A02B72"/>
    <w:rsid w:val="08AF7661"/>
    <w:rsid w:val="08CA7B35"/>
    <w:rsid w:val="08F75BBB"/>
    <w:rsid w:val="090D303B"/>
    <w:rsid w:val="09216B15"/>
    <w:rsid w:val="092263E9"/>
    <w:rsid w:val="09284798"/>
    <w:rsid w:val="09410F65"/>
    <w:rsid w:val="09656CA2"/>
    <w:rsid w:val="096B1367"/>
    <w:rsid w:val="09730E8F"/>
    <w:rsid w:val="09851FD8"/>
    <w:rsid w:val="09BC7A1B"/>
    <w:rsid w:val="09C05BDB"/>
    <w:rsid w:val="09C21316"/>
    <w:rsid w:val="09C32A1B"/>
    <w:rsid w:val="0A1A2772"/>
    <w:rsid w:val="0A391C3C"/>
    <w:rsid w:val="0A5B2AD2"/>
    <w:rsid w:val="0A603163"/>
    <w:rsid w:val="0AB17B73"/>
    <w:rsid w:val="0AB459D7"/>
    <w:rsid w:val="0ABA54AE"/>
    <w:rsid w:val="0ACE05D7"/>
    <w:rsid w:val="0AD83203"/>
    <w:rsid w:val="0ADB7197"/>
    <w:rsid w:val="0AE4204D"/>
    <w:rsid w:val="0AF36FF9"/>
    <w:rsid w:val="0B0F6C00"/>
    <w:rsid w:val="0B237A5D"/>
    <w:rsid w:val="0B2B5A29"/>
    <w:rsid w:val="0B3D0C39"/>
    <w:rsid w:val="0B622195"/>
    <w:rsid w:val="0B6739CD"/>
    <w:rsid w:val="0B7C3034"/>
    <w:rsid w:val="0B7FCDEF"/>
    <w:rsid w:val="0B925DD0"/>
    <w:rsid w:val="0BAF4976"/>
    <w:rsid w:val="0BBE6246"/>
    <w:rsid w:val="0BCA3494"/>
    <w:rsid w:val="0BD0037E"/>
    <w:rsid w:val="0BE052CD"/>
    <w:rsid w:val="0BF627AF"/>
    <w:rsid w:val="0BFD32C2"/>
    <w:rsid w:val="0C087B18"/>
    <w:rsid w:val="0C0F332E"/>
    <w:rsid w:val="0C191952"/>
    <w:rsid w:val="0C434FF4"/>
    <w:rsid w:val="0C497A08"/>
    <w:rsid w:val="0C535778"/>
    <w:rsid w:val="0C6622A2"/>
    <w:rsid w:val="0C6E7535"/>
    <w:rsid w:val="0C77125C"/>
    <w:rsid w:val="0C9475FE"/>
    <w:rsid w:val="0C9523B7"/>
    <w:rsid w:val="0CE71E24"/>
    <w:rsid w:val="0CE93BFB"/>
    <w:rsid w:val="0CFA1823"/>
    <w:rsid w:val="0D002EE5"/>
    <w:rsid w:val="0D260E5A"/>
    <w:rsid w:val="0D353CE7"/>
    <w:rsid w:val="0D3F57BC"/>
    <w:rsid w:val="0D684ABA"/>
    <w:rsid w:val="0D780CCE"/>
    <w:rsid w:val="0D7FA77D"/>
    <w:rsid w:val="0DBC3F5E"/>
    <w:rsid w:val="0DD65ED6"/>
    <w:rsid w:val="0DFC6EB6"/>
    <w:rsid w:val="0DFF47ED"/>
    <w:rsid w:val="0E3743A4"/>
    <w:rsid w:val="0E464928"/>
    <w:rsid w:val="0E6B6866"/>
    <w:rsid w:val="0E6D0107"/>
    <w:rsid w:val="0E7B4348"/>
    <w:rsid w:val="0E836BDA"/>
    <w:rsid w:val="0EBA72EC"/>
    <w:rsid w:val="0EC07104"/>
    <w:rsid w:val="0ED050E8"/>
    <w:rsid w:val="0EE965EA"/>
    <w:rsid w:val="0EFB6D9A"/>
    <w:rsid w:val="0EFBB6A7"/>
    <w:rsid w:val="0EFEAF24"/>
    <w:rsid w:val="0F0C5CF8"/>
    <w:rsid w:val="0F2B6FD9"/>
    <w:rsid w:val="0F462096"/>
    <w:rsid w:val="0F6312FE"/>
    <w:rsid w:val="0F7A6F7F"/>
    <w:rsid w:val="0FA1450C"/>
    <w:rsid w:val="0FB75D90"/>
    <w:rsid w:val="0FC11D43"/>
    <w:rsid w:val="0FD46693"/>
    <w:rsid w:val="0FE8213B"/>
    <w:rsid w:val="0FF54858"/>
    <w:rsid w:val="0FF66748"/>
    <w:rsid w:val="0FFC339B"/>
    <w:rsid w:val="10267B04"/>
    <w:rsid w:val="1032785A"/>
    <w:rsid w:val="10497711"/>
    <w:rsid w:val="104E6615"/>
    <w:rsid w:val="10612637"/>
    <w:rsid w:val="107B1489"/>
    <w:rsid w:val="10852ECB"/>
    <w:rsid w:val="108F4A10"/>
    <w:rsid w:val="10FD74D6"/>
    <w:rsid w:val="11004589"/>
    <w:rsid w:val="111B7916"/>
    <w:rsid w:val="113F08FD"/>
    <w:rsid w:val="11477335"/>
    <w:rsid w:val="114B1291"/>
    <w:rsid w:val="114D23C1"/>
    <w:rsid w:val="115A36DF"/>
    <w:rsid w:val="11761B3A"/>
    <w:rsid w:val="11987014"/>
    <w:rsid w:val="11A83289"/>
    <w:rsid w:val="11B23510"/>
    <w:rsid w:val="11B479E7"/>
    <w:rsid w:val="11C442D8"/>
    <w:rsid w:val="11F3335E"/>
    <w:rsid w:val="12072620"/>
    <w:rsid w:val="12084307"/>
    <w:rsid w:val="12154D3D"/>
    <w:rsid w:val="12160CE1"/>
    <w:rsid w:val="125B4DE6"/>
    <w:rsid w:val="126815DB"/>
    <w:rsid w:val="128310BB"/>
    <w:rsid w:val="12851EC3"/>
    <w:rsid w:val="12852F30"/>
    <w:rsid w:val="12A600B7"/>
    <w:rsid w:val="12BD7F31"/>
    <w:rsid w:val="12BE53D5"/>
    <w:rsid w:val="12C423C9"/>
    <w:rsid w:val="12C44409"/>
    <w:rsid w:val="12EB5345"/>
    <w:rsid w:val="12F773AA"/>
    <w:rsid w:val="130059ED"/>
    <w:rsid w:val="130C11DC"/>
    <w:rsid w:val="131216A2"/>
    <w:rsid w:val="132A1271"/>
    <w:rsid w:val="134D0507"/>
    <w:rsid w:val="135E3946"/>
    <w:rsid w:val="13806B2E"/>
    <w:rsid w:val="13892E2F"/>
    <w:rsid w:val="139323BD"/>
    <w:rsid w:val="139D1E32"/>
    <w:rsid w:val="13A50D99"/>
    <w:rsid w:val="13A74451"/>
    <w:rsid w:val="13AC2B57"/>
    <w:rsid w:val="13AE6FC6"/>
    <w:rsid w:val="13E5512D"/>
    <w:rsid w:val="13E9341C"/>
    <w:rsid w:val="13EE4B9B"/>
    <w:rsid w:val="13FF9786"/>
    <w:rsid w:val="141737FA"/>
    <w:rsid w:val="142C247F"/>
    <w:rsid w:val="14347D82"/>
    <w:rsid w:val="144C180C"/>
    <w:rsid w:val="146A05E4"/>
    <w:rsid w:val="147222B2"/>
    <w:rsid w:val="147F0B94"/>
    <w:rsid w:val="148951C4"/>
    <w:rsid w:val="14952165"/>
    <w:rsid w:val="149E7350"/>
    <w:rsid w:val="14BC34EF"/>
    <w:rsid w:val="14D913C2"/>
    <w:rsid w:val="14E25594"/>
    <w:rsid w:val="14EA7401"/>
    <w:rsid w:val="14F51BFA"/>
    <w:rsid w:val="152534E9"/>
    <w:rsid w:val="15367812"/>
    <w:rsid w:val="153876C0"/>
    <w:rsid w:val="153B3ECA"/>
    <w:rsid w:val="15523757"/>
    <w:rsid w:val="15681628"/>
    <w:rsid w:val="156F3987"/>
    <w:rsid w:val="157B135B"/>
    <w:rsid w:val="157D50D3"/>
    <w:rsid w:val="15A97411"/>
    <w:rsid w:val="15AB3A40"/>
    <w:rsid w:val="15D25738"/>
    <w:rsid w:val="15D610E1"/>
    <w:rsid w:val="15DB44F0"/>
    <w:rsid w:val="1604747C"/>
    <w:rsid w:val="1607353E"/>
    <w:rsid w:val="16074E97"/>
    <w:rsid w:val="16251382"/>
    <w:rsid w:val="16302145"/>
    <w:rsid w:val="16561375"/>
    <w:rsid w:val="16753FFC"/>
    <w:rsid w:val="169B02CB"/>
    <w:rsid w:val="16B06D00"/>
    <w:rsid w:val="16B54D41"/>
    <w:rsid w:val="16C1729B"/>
    <w:rsid w:val="16D476F1"/>
    <w:rsid w:val="16DB6903"/>
    <w:rsid w:val="16E11893"/>
    <w:rsid w:val="16FE40BB"/>
    <w:rsid w:val="171B24B4"/>
    <w:rsid w:val="172A294C"/>
    <w:rsid w:val="173ADDAD"/>
    <w:rsid w:val="174A03C5"/>
    <w:rsid w:val="1750790A"/>
    <w:rsid w:val="175ED3B7"/>
    <w:rsid w:val="176669FA"/>
    <w:rsid w:val="17681DB3"/>
    <w:rsid w:val="1777CF3B"/>
    <w:rsid w:val="178D0A2A"/>
    <w:rsid w:val="1796659D"/>
    <w:rsid w:val="17976A81"/>
    <w:rsid w:val="17B1635B"/>
    <w:rsid w:val="17E6E6B3"/>
    <w:rsid w:val="17FA27BD"/>
    <w:rsid w:val="17FB0EBD"/>
    <w:rsid w:val="180C6BE2"/>
    <w:rsid w:val="1811244B"/>
    <w:rsid w:val="18211DB1"/>
    <w:rsid w:val="183C240D"/>
    <w:rsid w:val="185D743E"/>
    <w:rsid w:val="187109D1"/>
    <w:rsid w:val="18787DD4"/>
    <w:rsid w:val="187B70B9"/>
    <w:rsid w:val="187F1162"/>
    <w:rsid w:val="18D17096"/>
    <w:rsid w:val="18EF1AA1"/>
    <w:rsid w:val="18F31380"/>
    <w:rsid w:val="18F558C8"/>
    <w:rsid w:val="18F7519C"/>
    <w:rsid w:val="18F84049"/>
    <w:rsid w:val="190F19C3"/>
    <w:rsid w:val="191A0E8B"/>
    <w:rsid w:val="191D7B19"/>
    <w:rsid w:val="193361C3"/>
    <w:rsid w:val="1938118C"/>
    <w:rsid w:val="19551A49"/>
    <w:rsid w:val="19640A7D"/>
    <w:rsid w:val="199466D9"/>
    <w:rsid w:val="19996254"/>
    <w:rsid w:val="19C1039A"/>
    <w:rsid w:val="19F422B4"/>
    <w:rsid w:val="19F745AA"/>
    <w:rsid w:val="19FE7BC5"/>
    <w:rsid w:val="19FEF344"/>
    <w:rsid w:val="1A3366A8"/>
    <w:rsid w:val="1A491E89"/>
    <w:rsid w:val="1A5A3D17"/>
    <w:rsid w:val="1A5D1977"/>
    <w:rsid w:val="1A5F124B"/>
    <w:rsid w:val="1A7171D0"/>
    <w:rsid w:val="1A9058A9"/>
    <w:rsid w:val="1A954C6D"/>
    <w:rsid w:val="1AA24D9F"/>
    <w:rsid w:val="1AB44CD3"/>
    <w:rsid w:val="1ABE22CB"/>
    <w:rsid w:val="1ACC0979"/>
    <w:rsid w:val="1AD67034"/>
    <w:rsid w:val="1AFEC3DA"/>
    <w:rsid w:val="1B081C1D"/>
    <w:rsid w:val="1B1D1E8B"/>
    <w:rsid w:val="1B3B1CB8"/>
    <w:rsid w:val="1B5468D6"/>
    <w:rsid w:val="1B5944E3"/>
    <w:rsid w:val="1B5A10D6"/>
    <w:rsid w:val="1B7A20B5"/>
    <w:rsid w:val="1B80591D"/>
    <w:rsid w:val="1B81230E"/>
    <w:rsid w:val="1B8F3DB2"/>
    <w:rsid w:val="1B9A1D4F"/>
    <w:rsid w:val="1BB315FD"/>
    <w:rsid w:val="1BB32FDB"/>
    <w:rsid w:val="1BBB6EB5"/>
    <w:rsid w:val="1BBD013E"/>
    <w:rsid w:val="1BCA6A0D"/>
    <w:rsid w:val="1BFF7A30"/>
    <w:rsid w:val="1C1A4110"/>
    <w:rsid w:val="1C2255D4"/>
    <w:rsid w:val="1C2F10F1"/>
    <w:rsid w:val="1C327C48"/>
    <w:rsid w:val="1C3A1459"/>
    <w:rsid w:val="1C8431EB"/>
    <w:rsid w:val="1CB17093"/>
    <w:rsid w:val="1CB834AA"/>
    <w:rsid w:val="1CBF4223"/>
    <w:rsid w:val="1CC73D4A"/>
    <w:rsid w:val="1CD37B43"/>
    <w:rsid w:val="1CD7058E"/>
    <w:rsid w:val="1CE97ACB"/>
    <w:rsid w:val="1CEC1D3A"/>
    <w:rsid w:val="1CEC4AB5"/>
    <w:rsid w:val="1CFE39F6"/>
    <w:rsid w:val="1D2422D8"/>
    <w:rsid w:val="1D287E09"/>
    <w:rsid w:val="1D3D200B"/>
    <w:rsid w:val="1D3E0495"/>
    <w:rsid w:val="1D482603"/>
    <w:rsid w:val="1D4E165E"/>
    <w:rsid w:val="1D4F48F9"/>
    <w:rsid w:val="1D526C7A"/>
    <w:rsid w:val="1D590977"/>
    <w:rsid w:val="1D635D74"/>
    <w:rsid w:val="1D7D24C4"/>
    <w:rsid w:val="1D7F79EF"/>
    <w:rsid w:val="1D8712C5"/>
    <w:rsid w:val="1D93C94D"/>
    <w:rsid w:val="1DB8E77F"/>
    <w:rsid w:val="1DE43E33"/>
    <w:rsid w:val="1DE524CA"/>
    <w:rsid w:val="1DF00869"/>
    <w:rsid w:val="1DFD5D7D"/>
    <w:rsid w:val="1E0068A1"/>
    <w:rsid w:val="1E146BC0"/>
    <w:rsid w:val="1E1E3ED2"/>
    <w:rsid w:val="1E231347"/>
    <w:rsid w:val="1E2642CF"/>
    <w:rsid w:val="1E2A7DC2"/>
    <w:rsid w:val="1E46686C"/>
    <w:rsid w:val="1E54477C"/>
    <w:rsid w:val="1E594203"/>
    <w:rsid w:val="1E5B3311"/>
    <w:rsid w:val="1E5E62B7"/>
    <w:rsid w:val="1E685BCF"/>
    <w:rsid w:val="1E7B7755"/>
    <w:rsid w:val="1E7F3CA2"/>
    <w:rsid w:val="1EA45602"/>
    <w:rsid w:val="1EAC3703"/>
    <w:rsid w:val="1EBD33AF"/>
    <w:rsid w:val="1EC73863"/>
    <w:rsid w:val="1ECA6EAF"/>
    <w:rsid w:val="1EDD6B2A"/>
    <w:rsid w:val="1EE45B97"/>
    <w:rsid w:val="1EF6AA34"/>
    <w:rsid w:val="1EF96C62"/>
    <w:rsid w:val="1F045A80"/>
    <w:rsid w:val="1F1106B2"/>
    <w:rsid w:val="1F1C406A"/>
    <w:rsid w:val="1F2667DB"/>
    <w:rsid w:val="1F394761"/>
    <w:rsid w:val="1F4BA13D"/>
    <w:rsid w:val="1F550A14"/>
    <w:rsid w:val="1F6D11FD"/>
    <w:rsid w:val="1F752B76"/>
    <w:rsid w:val="1F79690E"/>
    <w:rsid w:val="1F7AD82C"/>
    <w:rsid w:val="1F7B3B4D"/>
    <w:rsid w:val="1F7FE225"/>
    <w:rsid w:val="1FA40546"/>
    <w:rsid w:val="1FA73327"/>
    <w:rsid w:val="1FB90D10"/>
    <w:rsid w:val="1FBC2C9C"/>
    <w:rsid w:val="1FBE5C57"/>
    <w:rsid w:val="1FBF56C5"/>
    <w:rsid w:val="1FCD7F3A"/>
    <w:rsid w:val="1FCFB084"/>
    <w:rsid w:val="1FDFC970"/>
    <w:rsid w:val="1FEFBC33"/>
    <w:rsid w:val="1FF77DEB"/>
    <w:rsid w:val="1FFA4800"/>
    <w:rsid w:val="1FFC7219"/>
    <w:rsid w:val="1FFE3712"/>
    <w:rsid w:val="1FFEC5B1"/>
    <w:rsid w:val="1FFF15CD"/>
    <w:rsid w:val="1FFF9B26"/>
    <w:rsid w:val="2001516D"/>
    <w:rsid w:val="20112FE8"/>
    <w:rsid w:val="201F78B7"/>
    <w:rsid w:val="204607B7"/>
    <w:rsid w:val="204F5741"/>
    <w:rsid w:val="206D4539"/>
    <w:rsid w:val="20716543"/>
    <w:rsid w:val="2096340D"/>
    <w:rsid w:val="209C26F7"/>
    <w:rsid w:val="20A2041A"/>
    <w:rsid w:val="20AE799C"/>
    <w:rsid w:val="20C54B73"/>
    <w:rsid w:val="20D27239"/>
    <w:rsid w:val="20D77188"/>
    <w:rsid w:val="20D817C2"/>
    <w:rsid w:val="20EB5C0D"/>
    <w:rsid w:val="20F335E5"/>
    <w:rsid w:val="20FE7095"/>
    <w:rsid w:val="211540F8"/>
    <w:rsid w:val="211A2370"/>
    <w:rsid w:val="212B5512"/>
    <w:rsid w:val="214A0D59"/>
    <w:rsid w:val="215F7AB8"/>
    <w:rsid w:val="21780E44"/>
    <w:rsid w:val="217A4BBD"/>
    <w:rsid w:val="21853283"/>
    <w:rsid w:val="21AB2FC8"/>
    <w:rsid w:val="21AB49A6"/>
    <w:rsid w:val="21CA734B"/>
    <w:rsid w:val="21D270C2"/>
    <w:rsid w:val="21D45C93"/>
    <w:rsid w:val="21D5662C"/>
    <w:rsid w:val="21E32762"/>
    <w:rsid w:val="21EB1616"/>
    <w:rsid w:val="21FF530A"/>
    <w:rsid w:val="220D298D"/>
    <w:rsid w:val="222237A5"/>
    <w:rsid w:val="222541A6"/>
    <w:rsid w:val="222679CE"/>
    <w:rsid w:val="22295C18"/>
    <w:rsid w:val="22301020"/>
    <w:rsid w:val="225D173D"/>
    <w:rsid w:val="225E003A"/>
    <w:rsid w:val="227B5090"/>
    <w:rsid w:val="227C4964"/>
    <w:rsid w:val="228069B0"/>
    <w:rsid w:val="2287070F"/>
    <w:rsid w:val="2290116C"/>
    <w:rsid w:val="229879F0"/>
    <w:rsid w:val="22A4755F"/>
    <w:rsid w:val="22AF554D"/>
    <w:rsid w:val="22BD7B2C"/>
    <w:rsid w:val="232C0139"/>
    <w:rsid w:val="236D0295"/>
    <w:rsid w:val="236F6BEA"/>
    <w:rsid w:val="23734E43"/>
    <w:rsid w:val="237750EB"/>
    <w:rsid w:val="237A2980"/>
    <w:rsid w:val="237C0C0E"/>
    <w:rsid w:val="237D1CD9"/>
    <w:rsid w:val="23825FAA"/>
    <w:rsid w:val="23A233FC"/>
    <w:rsid w:val="23C470B1"/>
    <w:rsid w:val="23C94BC5"/>
    <w:rsid w:val="23D039F6"/>
    <w:rsid w:val="23F31E37"/>
    <w:rsid w:val="240306B9"/>
    <w:rsid w:val="241308D1"/>
    <w:rsid w:val="241A61E3"/>
    <w:rsid w:val="2432352D"/>
    <w:rsid w:val="24343749"/>
    <w:rsid w:val="2438146A"/>
    <w:rsid w:val="24407B10"/>
    <w:rsid w:val="24661428"/>
    <w:rsid w:val="248833EF"/>
    <w:rsid w:val="24AE34FB"/>
    <w:rsid w:val="24C87B8F"/>
    <w:rsid w:val="24D452EA"/>
    <w:rsid w:val="24F21DB7"/>
    <w:rsid w:val="24F61ECA"/>
    <w:rsid w:val="24F73109"/>
    <w:rsid w:val="250E17B9"/>
    <w:rsid w:val="25116B15"/>
    <w:rsid w:val="251858F8"/>
    <w:rsid w:val="252436F8"/>
    <w:rsid w:val="25293AE1"/>
    <w:rsid w:val="252A2249"/>
    <w:rsid w:val="25591B6A"/>
    <w:rsid w:val="257FF667"/>
    <w:rsid w:val="25962CC6"/>
    <w:rsid w:val="259C23C5"/>
    <w:rsid w:val="25AB4ED3"/>
    <w:rsid w:val="25BD490F"/>
    <w:rsid w:val="25C446D8"/>
    <w:rsid w:val="25D850A5"/>
    <w:rsid w:val="25DF1492"/>
    <w:rsid w:val="25F820ED"/>
    <w:rsid w:val="25FF2D55"/>
    <w:rsid w:val="260D7C76"/>
    <w:rsid w:val="26127143"/>
    <w:rsid w:val="26131EB0"/>
    <w:rsid w:val="26331252"/>
    <w:rsid w:val="263A747E"/>
    <w:rsid w:val="26465DEF"/>
    <w:rsid w:val="26546F84"/>
    <w:rsid w:val="2658630B"/>
    <w:rsid w:val="26597496"/>
    <w:rsid w:val="2674607E"/>
    <w:rsid w:val="26812549"/>
    <w:rsid w:val="269C47EF"/>
    <w:rsid w:val="26B40B71"/>
    <w:rsid w:val="26B7240F"/>
    <w:rsid w:val="26CF1B59"/>
    <w:rsid w:val="26D5259F"/>
    <w:rsid w:val="26E72A87"/>
    <w:rsid w:val="26EF3AFF"/>
    <w:rsid w:val="27042A7B"/>
    <w:rsid w:val="27090F79"/>
    <w:rsid w:val="270B466D"/>
    <w:rsid w:val="27282C89"/>
    <w:rsid w:val="272950BB"/>
    <w:rsid w:val="27412045"/>
    <w:rsid w:val="275527C6"/>
    <w:rsid w:val="27702CEA"/>
    <w:rsid w:val="27A207C3"/>
    <w:rsid w:val="27AB1F74"/>
    <w:rsid w:val="27CB64FE"/>
    <w:rsid w:val="27DB6ACA"/>
    <w:rsid w:val="27DB6E1F"/>
    <w:rsid w:val="27EB2370"/>
    <w:rsid w:val="27FBA8EA"/>
    <w:rsid w:val="28085118"/>
    <w:rsid w:val="28102C38"/>
    <w:rsid w:val="28137C2E"/>
    <w:rsid w:val="28180C8B"/>
    <w:rsid w:val="281F1359"/>
    <w:rsid w:val="282D0BDB"/>
    <w:rsid w:val="282D2989"/>
    <w:rsid w:val="283B001A"/>
    <w:rsid w:val="28590F84"/>
    <w:rsid w:val="286C31BB"/>
    <w:rsid w:val="289965A3"/>
    <w:rsid w:val="28C87DBA"/>
    <w:rsid w:val="28D23530"/>
    <w:rsid w:val="28DA2E89"/>
    <w:rsid w:val="29235B3A"/>
    <w:rsid w:val="2927562A"/>
    <w:rsid w:val="292A6EC8"/>
    <w:rsid w:val="292D0766"/>
    <w:rsid w:val="29312751"/>
    <w:rsid w:val="29445FAA"/>
    <w:rsid w:val="29483DB1"/>
    <w:rsid w:val="294E19D3"/>
    <w:rsid w:val="295712CA"/>
    <w:rsid w:val="296A082C"/>
    <w:rsid w:val="296A2F05"/>
    <w:rsid w:val="298A5E14"/>
    <w:rsid w:val="299109D5"/>
    <w:rsid w:val="29C57D15"/>
    <w:rsid w:val="29D17FC7"/>
    <w:rsid w:val="29D37461"/>
    <w:rsid w:val="29DB6414"/>
    <w:rsid w:val="29EF8CED"/>
    <w:rsid w:val="29F5689D"/>
    <w:rsid w:val="29FB35D9"/>
    <w:rsid w:val="29FFE13E"/>
    <w:rsid w:val="2A0562BB"/>
    <w:rsid w:val="2A167548"/>
    <w:rsid w:val="2A4254F9"/>
    <w:rsid w:val="2A475133"/>
    <w:rsid w:val="2A573CED"/>
    <w:rsid w:val="2A5749FC"/>
    <w:rsid w:val="2A6226DE"/>
    <w:rsid w:val="2A693214"/>
    <w:rsid w:val="2A6D4DAB"/>
    <w:rsid w:val="2A7322D4"/>
    <w:rsid w:val="2A781EB5"/>
    <w:rsid w:val="2A85771B"/>
    <w:rsid w:val="2A8D4D62"/>
    <w:rsid w:val="2A9430F3"/>
    <w:rsid w:val="2A984C68"/>
    <w:rsid w:val="2AB92F77"/>
    <w:rsid w:val="2ABD5260"/>
    <w:rsid w:val="2ABF3775"/>
    <w:rsid w:val="2ACD3FAF"/>
    <w:rsid w:val="2AD349DA"/>
    <w:rsid w:val="2AFF55BD"/>
    <w:rsid w:val="2B0100FD"/>
    <w:rsid w:val="2B06451A"/>
    <w:rsid w:val="2B14441F"/>
    <w:rsid w:val="2B1D65E4"/>
    <w:rsid w:val="2B3260A5"/>
    <w:rsid w:val="2B5102D7"/>
    <w:rsid w:val="2B524B53"/>
    <w:rsid w:val="2B946D50"/>
    <w:rsid w:val="2BA411B4"/>
    <w:rsid w:val="2BAE521D"/>
    <w:rsid w:val="2BB16143"/>
    <w:rsid w:val="2BB477B3"/>
    <w:rsid w:val="2BBF3530"/>
    <w:rsid w:val="2BC047D3"/>
    <w:rsid w:val="2BCA00DD"/>
    <w:rsid w:val="2BE24ACD"/>
    <w:rsid w:val="2BE41BEA"/>
    <w:rsid w:val="2BF1590D"/>
    <w:rsid w:val="2C3670BD"/>
    <w:rsid w:val="2C3B13EC"/>
    <w:rsid w:val="2C4E1120"/>
    <w:rsid w:val="2C510C88"/>
    <w:rsid w:val="2C5727D8"/>
    <w:rsid w:val="2C5F50DB"/>
    <w:rsid w:val="2C7E6B2D"/>
    <w:rsid w:val="2C7FBAB6"/>
    <w:rsid w:val="2C91738A"/>
    <w:rsid w:val="2CAB6724"/>
    <w:rsid w:val="2CE51A84"/>
    <w:rsid w:val="2CEE531B"/>
    <w:rsid w:val="2CFF03AC"/>
    <w:rsid w:val="2D047A30"/>
    <w:rsid w:val="2D1024F6"/>
    <w:rsid w:val="2D1C2001"/>
    <w:rsid w:val="2D1F32F4"/>
    <w:rsid w:val="2D2C76B3"/>
    <w:rsid w:val="2D3F559A"/>
    <w:rsid w:val="2D455D2B"/>
    <w:rsid w:val="2D5F7266"/>
    <w:rsid w:val="2D691B92"/>
    <w:rsid w:val="2D6A1F89"/>
    <w:rsid w:val="2DA8534F"/>
    <w:rsid w:val="2DD34109"/>
    <w:rsid w:val="2DDE3214"/>
    <w:rsid w:val="2E004083"/>
    <w:rsid w:val="2E1A7E81"/>
    <w:rsid w:val="2E33681F"/>
    <w:rsid w:val="2E3A5DFF"/>
    <w:rsid w:val="2E642C67"/>
    <w:rsid w:val="2E6B52F2"/>
    <w:rsid w:val="2E6B6090"/>
    <w:rsid w:val="2E9A4AF0"/>
    <w:rsid w:val="2EA27501"/>
    <w:rsid w:val="2EBB5F58"/>
    <w:rsid w:val="2EF20488"/>
    <w:rsid w:val="2EFD7286"/>
    <w:rsid w:val="2F205E18"/>
    <w:rsid w:val="2F2701B6"/>
    <w:rsid w:val="2F310CDD"/>
    <w:rsid w:val="2F330090"/>
    <w:rsid w:val="2F336759"/>
    <w:rsid w:val="2F3E547B"/>
    <w:rsid w:val="2F4C3A59"/>
    <w:rsid w:val="2F513511"/>
    <w:rsid w:val="2F61116A"/>
    <w:rsid w:val="2F612C35"/>
    <w:rsid w:val="2F653168"/>
    <w:rsid w:val="2F6F5A66"/>
    <w:rsid w:val="2F7D19D4"/>
    <w:rsid w:val="2F7E0FC5"/>
    <w:rsid w:val="2F7F5051"/>
    <w:rsid w:val="2F875C16"/>
    <w:rsid w:val="2F891D2D"/>
    <w:rsid w:val="2F903B78"/>
    <w:rsid w:val="2FAFFD34"/>
    <w:rsid w:val="2FB361F0"/>
    <w:rsid w:val="2FB92D54"/>
    <w:rsid w:val="2FC46472"/>
    <w:rsid w:val="2FCFE2DC"/>
    <w:rsid w:val="2FD302BA"/>
    <w:rsid w:val="2FE1DC78"/>
    <w:rsid w:val="2FF38EF8"/>
    <w:rsid w:val="2FF6427E"/>
    <w:rsid w:val="2FF86F0B"/>
    <w:rsid w:val="2FFA3A98"/>
    <w:rsid w:val="2FFD0CDC"/>
    <w:rsid w:val="2FFD3D1A"/>
    <w:rsid w:val="2FFEA3FF"/>
    <w:rsid w:val="2FFF838B"/>
    <w:rsid w:val="3011493E"/>
    <w:rsid w:val="30161F54"/>
    <w:rsid w:val="30180224"/>
    <w:rsid w:val="3038319F"/>
    <w:rsid w:val="306B04F2"/>
    <w:rsid w:val="30705B08"/>
    <w:rsid w:val="30764EE5"/>
    <w:rsid w:val="307D4ABA"/>
    <w:rsid w:val="30901D07"/>
    <w:rsid w:val="30CC51AF"/>
    <w:rsid w:val="30E3452C"/>
    <w:rsid w:val="30F537B2"/>
    <w:rsid w:val="30F66FB5"/>
    <w:rsid w:val="30F85AFE"/>
    <w:rsid w:val="30FB2705"/>
    <w:rsid w:val="310C75A3"/>
    <w:rsid w:val="310D6A5F"/>
    <w:rsid w:val="310F0CD5"/>
    <w:rsid w:val="311A2ECF"/>
    <w:rsid w:val="311A3CC6"/>
    <w:rsid w:val="31224929"/>
    <w:rsid w:val="312547D2"/>
    <w:rsid w:val="31283EF1"/>
    <w:rsid w:val="312D0BBA"/>
    <w:rsid w:val="3143321D"/>
    <w:rsid w:val="317E0A37"/>
    <w:rsid w:val="31853836"/>
    <w:rsid w:val="3199427B"/>
    <w:rsid w:val="31A65CB0"/>
    <w:rsid w:val="31AB4682"/>
    <w:rsid w:val="31AD0F91"/>
    <w:rsid w:val="31AF18A3"/>
    <w:rsid w:val="31BB70F6"/>
    <w:rsid w:val="31BD4E40"/>
    <w:rsid w:val="31C31C39"/>
    <w:rsid w:val="31E7649D"/>
    <w:rsid w:val="32090A42"/>
    <w:rsid w:val="321D0FF6"/>
    <w:rsid w:val="322437FA"/>
    <w:rsid w:val="3239395E"/>
    <w:rsid w:val="323B4D81"/>
    <w:rsid w:val="32423ED4"/>
    <w:rsid w:val="32662434"/>
    <w:rsid w:val="326B7D35"/>
    <w:rsid w:val="327318E0"/>
    <w:rsid w:val="32851613"/>
    <w:rsid w:val="329469DE"/>
    <w:rsid w:val="32964404"/>
    <w:rsid w:val="32A67293"/>
    <w:rsid w:val="32B205D0"/>
    <w:rsid w:val="32BA64A9"/>
    <w:rsid w:val="32CB3961"/>
    <w:rsid w:val="32EC51EE"/>
    <w:rsid w:val="32EE540A"/>
    <w:rsid w:val="331A1D5C"/>
    <w:rsid w:val="3337290D"/>
    <w:rsid w:val="334331E6"/>
    <w:rsid w:val="33435756"/>
    <w:rsid w:val="335364DF"/>
    <w:rsid w:val="335F00B6"/>
    <w:rsid w:val="336074D2"/>
    <w:rsid w:val="336A7926"/>
    <w:rsid w:val="336F1BEF"/>
    <w:rsid w:val="337C47C4"/>
    <w:rsid w:val="33864767"/>
    <w:rsid w:val="339715FE"/>
    <w:rsid w:val="33B7C077"/>
    <w:rsid w:val="33BE34B0"/>
    <w:rsid w:val="33C063FA"/>
    <w:rsid w:val="33DF6314"/>
    <w:rsid w:val="33E03D45"/>
    <w:rsid w:val="33EE0FC0"/>
    <w:rsid w:val="33F72012"/>
    <w:rsid w:val="33FF2DC1"/>
    <w:rsid w:val="3405369F"/>
    <w:rsid w:val="3419350A"/>
    <w:rsid w:val="34295FA7"/>
    <w:rsid w:val="344572AC"/>
    <w:rsid w:val="34644A64"/>
    <w:rsid w:val="34655258"/>
    <w:rsid w:val="34747302"/>
    <w:rsid w:val="347A1F14"/>
    <w:rsid w:val="348222AE"/>
    <w:rsid w:val="34890D8D"/>
    <w:rsid w:val="349C7FBE"/>
    <w:rsid w:val="34B70380"/>
    <w:rsid w:val="34C37D49"/>
    <w:rsid w:val="34CA1631"/>
    <w:rsid w:val="34DC18B6"/>
    <w:rsid w:val="34F00345"/>
    <w:rsid w:val="34F65B4C"/>
    <w:rsid w:val="35034DC6"/>
    <w:rsid w:val="350E272F"/>
    <w:rsid w:val="35150A2C"/>
    <w:rsid w:val="351C1BED"/>
    <w:rsid w:val="35226315"/>
    <w:rsid w:val="35231BAF"/>
    <w:rsid w:val="35386276"/>
    <w:rsid w:val="354457B6"/>
    <w:rsid w:val="35480AC5"/>
    <w:rsid w:val="354D0B11"/>
    <w:rsid w:val="354F0E7C"/>
    <w:rsid w:val="35661288"/>
    <w:rsid w:val="356D3D6B"/>
    <w:rsid w:val="357A3217"/>
    <w:rsid w:val="357E2A76"/>
    <w:rsid w:val="35970F9D"/>
    <w:rsid w:val="359C12DD"/>
    <w:rsid w:val="35A13420"/>
    <w:rsid w:val="35B9552F"/>
    <w:rsid w:val="35BAC1E8"/>
    <w:rsid w:val="35C9FFE1"/>
    <w:rsid w:val="35D6415D"/>
    <w:rsid w:val="35DC779C"/>
    <w:rsid w:val="35E277B6"/>
    <w:rsid w:val="35E34252"/>
    <w:rsid w:val="35EF728C"/>
    <w:rsid w:val="35FD515C"/>
    <w:rsid w:val="35FE769C"/>
    <w:rsid w:val="35FF7FAA"/>
    <w:rsid w:val="361718E7"/>
    <w:rsid w:val="361B7E26"/>
    <w:rsid w:val="363A6018"/>
    <w:rsid w:val="36462E68"/>
    <w:rsid w:val="364A57BB"/>
    <w:rsid w:val="366E687E"/>
    <w:rsid w:val="367B6FB5"/>
    <w:rsid w:val="367E3F16"/>
    <w:rsid w:val="368D5E78"/>
    <w:rsid w:val="36982E0F"/>
    <w:rsid w:val="36AF250E"/>
    <w:rsid w:val="36DD024C"/>
    <w:rsid w:val="36E3092A"/>
    <w:rsid w:val="36F56D67"/>
    <w:rsid w:val="370D1785"/>
    <w:rsid w:val="37134760"/>
    <w:rsid w:val="3723031A"/>
    <w:rsid w:val="3724546A"/>
    <w:rsid w:val="37252DC4"/>
    <w:rsid w:val="373845F0"/>
    <w:rsid w:val="37464BAC"/>
    <w:rsid w:val="37487677"/>
    <w:rsid w:val="376712E7"/>
    <w:rsid w:val="377F9B8E"/>
    <w:rsid w:val="37A675A8"/>
    <w:rsid w:val="37AE00E9"/>
    <w:rsid w:val="37BF34EF"/>
    <w:rsid w:val="37DB3EFE"/>
    <w:rsid w:val="37EDDD76"/>
    <w:rsid w:val="37EE59AC"/>
    <w:rsid w:val="37F720F2"/>
    <w:rsid w:val="37F7E544"/>
    <w:rsid w:val="37F9C950"/>
    <w:rsid w:val="37FB524E"/>
    <w:rsid w:val="37FD6BF3"/>
    <w:rsid w:val="37FF4DD1"/>
    <w:rsid w:val="37FF4FFB"/>
    <w:rsid w:val="380246A2"/>
    <w:rsid w:val="38051AB4"/>
    <w:rsid w:val="38267060"/>
    <w:rsid w:val="38284D0C"/>
    <w:rsid w:val="38385E72"/>
    <w:rsid w:val="384B2109"/>
    <w:rsid w:val="38625A5D"/>
    <w:rsid w:val="387E5A64"/>
    <w:rsid w:val="388760E5"/>
    <w:rsid w:val="389F4929"/>
    <w:rsid w:val="38A731BC"/>
    <w:rsid w:val="38AB4B5A"/>
    <w:rsid w:val="38BD2545"/>
    <w:rsid w:val="38DE55D9"/>
    <w:rsid w:val="38E06094"/>
    <w:rsid w:val="39013431"/>
    <w:rsid w:val="390363FE"/>
    <w:rsid w:val="39290F4A"/>
    <w:rsid w:val="39340415"/>
    <w:rsid w:val="39972358"/>
    <w:rsid w:val="39BC3442"/>
    <w:rsid w:val="39BE2D0E"/>
    <w:rsid w:val="39DA0497"/>
    <w:rsid w:val="39FFDC4C"/>
    <w:rsid w:val="3A3D1514"/>
    <w:rsid w:val="3A511B22"/>
    <w:rsid w:val="3A5D305A"/>
    <w:rsid w:val="3A6E3D80"/>
    <w:rsid w:val="3A766411"/>
    <w:rsid w:val="3A7A4D70"/>
    <w:rsid w:val="3A847DCF"/>
    <w:rsid w:val="3AA8354C"/>
    <w:rsid w:val="3ACE417B"/>
    <w:rsid w:val="3AD46809"/>
    <w:rsid w:val="3AE174A3"/>
    <w:rsid w:val="3AE236F2"/>
    <w:rsid w:val="3AE425CD"/>
    <w:rsid w:val="3AF7201C"/>
    <w:rsid w:val="3AFE368C"/>
    <w:rsid w:val="3B0B6E7C"/>
    <w:rsid w:val="3B174082"/>
    <w:rsid w:val="3B5830E9"/>
    <w:rsid w:val="3B774CDD"/>
    <w:rsid w:val="3B7BCA6C"/>
    <w:rsid w:val="3B7D85A8"/>
    <w:rsid w:val="3B87609D"/>
    <w:rsid w:val="3B8A08C7"/>
    <w:rsid w:val="3B9609A4"/>
    <w:rsid w:val="3B98D948"/>
    <w:rsid w:val="3B9F3746"/>
    <w:rsid w:val="3BA91405"/>
    <w:rsid w:val="3BAA7FC9"/>
    <w:rsid w:val="3BB09D96"/>
    <w:rsid w:val="3BB99C6D"/>
    <w:rsid w:val="3BD4700F"/>
    <w:rsid w:val="3BD70427"/>
    <w:rsid w:val="3BEA5F41"/>
    <w:rsid w:val="3BEFC551"/>
    <w:rsid w:val="3BF02E60"/>
    <w:rsid w:val="3BFA53CB"/>
    <w:rsid w:val="3BFE5F7C"/>
    <w:rsid w:val="3BFF13DC"/>
    <w:rsid w:val="3C0A2B26"/>
    <w:rsid w:val="3C1BB09A"/>
    <w:rsid w:val="3C1F12C3"/>
    <w:rsid w:val="3C2BD24A"/>
    <w:rsid w:val="3C301BB0"/>
    <w:rsid w:val="3C317A73"/>
    <w:rsid w:val="3C3814A4"/>
    <w:rsid w:val="3C65081D"/>
    <w:rsid w:val="3C77B7C2"/>
    <w:rsid w:val="3C7F2D33"/>
    <w:rsid w:val="3C8F0A52"/>
    <w:rsid w:val="3C8F1B85"/>
    <w:rsid w:val="3CA01523"/>
    <w:rsid w:val="3CA72347"/>
    <w:rsid w:val="3CBB333D"/>
    <w:rsid w:val="3CE3DB58"/>
    <w:rsid w:val="3CE96AC6"/>
    <w:rsid w:val="3CEF6007"/>
    <w:rsid w:val="3CF7F7E9"/>
    <w:rsid w:val="3CF8256F"/>
    <w:rsid w:val="3CFFFFEE"/>
    <w:rsid w:val="3D0B3A06"/>
    <w:rsid w:val="3D145E0F"/>
    <w:rsid w:val="3D262204"/>
    <w:rsid w:val="3D2BEE1D"/>
    <w:rsid w:val="3D496AC2"/>
    <w:rsid w:val="3D4B3C34"/>
    <w:rsid w:val="3D4B898A"/>
    <w:rsid w:val="3D692FD6"/>
    <w:rsid w:val="3D6AA009"/>
    <w:rsid w:val="3D6F7F8F"/>
    <w:rsid w:val="3D7B8CA9"/>
    <w:rsid w:val="3D7F80E6"/>
    <w:rsid w:val="3D7F8154"/>
    <w:rsid w:val="3D803250"/>
    <w:rsid w:val="3D8449A1"/>
    <w:rsid w:val="3DA4543B"/>
    <w:rsid w:val="3DAD9951"/>
    <w:rsid w:val="3DB422B2"/>
    <w:rsid w:val="3DBD9760"/>
    <w:rsid w:val="3DC46E6A"/>
    <w:rsid w:val="3DC713D4"/>
    <w:rsid w:val="3DE03D27"/>
    <w:rsid w:val="3DEB56A7"/>
    <w:rsid w:val="3DEE1A66"/>
    <w:rsid w:val="3DF57134"/>
    <w:rsid w:val="3DFD4754"/>
    <w:rsid w:val="3DFE84AD"/>
    <w:rsid w:val="3E1871BF"/>
    <w:rsid w:val="3E2717D1"/>
    <w:rsid w:val="3E295549"/>
    <w:rsid w:val="3E2FAB70"/>
    <w:rsid w:val="3E370B82"/>
    <w:rsid w:val="3E442382"/>
    <w:rsid w:val="3EA267BC"/>
    <w:rsid w:val="3EB70B33"/>
    <w:rsid w:val="3EDB7DB3"/>
    <w:rsid w:val="3EE7611C"/>
    <w:rsid w:val="3EFF9209"/>
    <w:rsid w:val="3EFFD3D8"/>
    <w:rsid w:val="3F0A7128"/>
    <w:rsid w:val="3F285D8B"/>
    <w:rsid w:val="3F28BE93"/>
    <w:rsid w:val="3F3B34B8"/>
    <w:rsid w:val="3F3D07ED"/>
    <w:rsid w:val="3F3DD1F1"/>
    <w:rsid w:val="3F443D18"/>
    <w:rsid w:val="3F4FA000"/>
    <w:rsid w:val="3F57E6AE"/>
    <w:rsid w:val="3F676329"/>
    <w:rsid w:val="3F6B219D"/>
    <w:rsid w:val="3F6F5032"/>
    <w:rsid w:val="3F7A369B"/>
    <w:rsid w:val="3F7B2F8B"/>
    <w:rsid w:val="3F7EAEE0"/>
    <w:rsid w:val="3F865609"/>
    <w:rsid w:val="3F8C36E0"/>
    <w:rsid w:val="3F8E8232"/>
    <w:rsid w:val="3F9D7F9C"/>
    <w:rsid w:val="3F9F3DC8"/>
    <w:rsid w:val="3F9F56F5"/>
    <w:rsid w:val="3FAE0AD6"/>
    <w:rsid w:val="3FB726AA"/>
    <w:rsid w:val="3FBD4D96"/>
    <w:rsid w:val="3FBE34EE"/>
    <w:rsid w:val="3FBF16B1"/>
    <w:rsid w:val="3FBF9AE8"/>
    <w:rsid w:val="3FCB4DD9"/>
    <w:rsid w:val="3FCF203E"/>
    <w:rsid w:val="3FCF9093"/>
    <w:rsid w:val="3FD120A8"/>
    <w:rsid w:val="3FDD15FE"/>
    <w:rsid w:val="3FDD579A"/>
    <w:rsid w:val="3FDF02FD"/>
    <w:rsid w:val="3FDF6D34"/>
    <w:rsid w:val="3FDF7298"/>
    <w:rsid w:val="3FEF7B66"/>
    <w:rsid w:val="3FF28E19"/>
    <w:rsid w:val="3FF40503"/>
    <w:rsid w:val="3FFE2B5B"/>
    <w:rsid w:val="3FFF637D"/>
    <w:rsid w:val="3FFF7109"/>
    <w:rsid w:val="3FFF921E"/>
    <w:rsid w:val="400C6ED0"/>
    <w:rsid w:val="40151045"/>
    <w:rsid w:val="402661E4"/>
    <w:rsid w:val="404C4A95"/>
    <w:rsid w:val="40580BC7"/>
    <w:rsid w:val="40724455"/>
    <w:rsid w:val="40A40D73"/>
    <w:rsid w:val="40D92C20"/>
    <w:rsid w:val="40E37C31"/>
    <w:rsid w:val="40E65973"/>
    <w:rsid w:val="40F93388"/>
    <w:rsid w:val="40FB2EE6"/>
    <w:rsid w:val="41297B0B"/>
    <w:rsid w:val="41303FC5"/>
    <w:rsid w:val="41390199"/>
    <w:rsid w:val="413B4D26"/>
    <w:rsid w:val="414B007D"/>
    <w:rsid w:val="41602328"/>
    <w:rsid w:val="41732330"/>
    <w:rsid w:val="417F0B3D"/>
    <w:rsid w:val="4182744A"/>
    <w:rsid w:val="419B49AF"/>
    <w:rsid w:val="41A17FF0"/>
    <w:rsid w:val="41C326D5"/>
    <w:rsid w:val="41C754A0"/>
    <w:rsid w:val="41CA1741"/>
    <w:rsid w:val="41EA5EAB"/>
    <w:rsid w:val="41F44E89"/>
    <w:rsid w:val="42185F57"/>
    <w:rsid w:val="42295EB2"/>
    <w:rsid w:val="42420314"/>
    <w:rsid w:val="425237E8"/>
    <w:rsid w:val="42664401"/>
    <w:rsid w:val="429328D7"/>
    <w:rsid w:val="42A33F0B"/>
    <w:rsid w:val="42C2450E"/>
    <w:rsid w:val="42C817D4"/>
    <w:rsid w:val="42CD6DEA"/>
    <w:rsid w:val="42D12D91"/>
    <w:rsid w:val="42E70446"/>
    <w:rsid w:val="42F2197A"/>
    <w:rsid w:val="42F6065F"/>
    <w:rsid w:val="430576D4"/>
    <w:rsid w:val="432471FC"/>
    <w:rsid w:val="433153D0"/>
    <w:rsid w:val="43446334"/>
    <w:rsid w:val="435968D0"/>
    <w:rsid w:val="436863A0"/>
    <w:rsid w:val="43736048"/>
    <w:rsid w:val="437B6009"/>
    <w:rsid w:val="43825A21"/>
    <w:rsid w:val="43977E2D"/>
    <w:rsid w:val="43AD15DB"/>
    <w:rsid w:val="43ED6A68"/>
    <w:rsid w:val="43F62371"/>
    <w:rsid w:val="440D7B75"/>
    <w:rsid w:val="44166243"/>
    <w:rsid w:val="441C79DD"/>
    <w:rsid w:val="44406BF4"/>
    <w:rsid w:val="44407C5D"/>
    <w:rsid w:val="444906F3"/>
    <w:rsid w:val="445F7F16"/>
    <w:rsid w:val="44616288"/>
    <w:rsid w:val="447561B8"/>
    <w:rsid w:val="44890AEF"/>
    <w:rsid w:val="448C7DD1"/>
    <w:rsid w:val="44A84E71"/>
    <w:rsid w:val="44B54333"/>
    <w:rsid w:val="44C95EA8"/>
    <w:rsid w:val="44E34A44"/>
    <w:rsid w:val="44F87590"/>
    <w:rsid w:val="450262D6"/>
    <w:rsid w:val="450667D5"/>
    <w:rsid w:val="452F3649"/>
    <w:rsid w:val="453E4987"/>
    <w:rsid w:val="4550360E"/>
    <w:rsid w:val="45590A92"/>
    <w:rsid w:val="45624699"/>
    <w:rsid w:val="45627238"/>
    <w:rsid w:val="456C46BD"/>
    <w:rsid w:val="458738EE"/>
    <w:rsid w:val="459274DB"/>
    <w:rsid w:val="45C641DB"/>
    <w:rsid w:val="45D37CDF"/>
    <w:rsid w:val="45EDD0C2"/>
    <w:rsid w:val="46164ECF"/>
    <w:rsid w:val="46167353"/>
    <w:rsid w:val="46195EA3"/>
    <w:rsid w:val="4637312C"/>
    <w:rsid w:val="46755425"/>
    <w:rsid w:val="46811A38"/>
    <w:rsid w:val="46E0321C"/>
    <w:rsid w:val="46E157FA"/>
    <w:rsid w:val="46F32B98"/>
    <w:rsid w:val="46F76BD8"/>
    <w:rsid w:val="46FD0F0C"/>
    <w:rsid w:val="471274C2"/>
    <w:rsid w:val="472641A4"/>
    <w:rsid w:val="4733189B"/>
    <w:rsid w:val="474433F3"/>
    <w:rsid w:val="477DCE1E"/>
    <w:rsid w:val="47BDFDC6"/>
    <w:rsid w:val="47C349C6"/>
    <w:rsid w:val="47CA7D9C"/>
    <w:rsid w:val="47CB333B"/>
    <w:rsid w:val="47E36788"/>
    <w:rsid w:val="47EB4ECB"/>
    <w:rsid w:val="47F021D1"/>
    <w:rsid w:val="47F256A7"/>
    <w:rsid w:val="47F71A1A"/>
    <w:rsid w:val="47FC5AD6"/>
    <w:rsid w:val="480F1C53"/>
    <w:rsid w:val="48180B08"/>
    <w:rsid w:val="48293E1E"/>
    <w:rsid w:val="48457423"/>
    <w:rsid w:val="48593BBF"/>
    <w:rsid w:val="486317FC"/>
    <w:rsid w:val="486FD2F0"/>
    <w:rsid w:val="48897310"/>
    <w:rsid w:val="488A3D16"/>
    <w:rsid w:val="48973C87"/>
    <w:rsid w:val="48A40AE5"/>
    <w:rsid w:val="48AD2FC4"/>
    <w:rsid w:val="48DF0850"/>
    <w:rsid w:val="48E94252"/>
    <w:rsid w:val="48ED3397"/>
    <w:rsid w:val="48F20EDA"/>
    <w:rsid w:val="48F84495"/>
    <w:rsid w:val="49091A49"/>
    <w:rsid w:val="491A08B0"/>
    <w:rsid w:val="493A4AAE"/>
    <w:rsid w:val="49553696"/>
    <w:rsid w:val="495633FD"/>
    <w:rsid w:val="496B0C52"/>
    <w:rsid w:val="496E4757"/>
    <w:rsid w:val="498F0B0F"/>
    <w:rsid w:val="49C16F7D"/>
    <w:rsid w:val="49C46C7E"/>
    <w:rsid w:val="49FF5946"/>
    <w:rsid w:val="49FFE38D"/>
    <w:rsid w:val="4A0A26D2"/>
    <w:rsid w:val="4A0E7992"/>
    <w:rsid w:val="4A161077"/>
    <w:rsid w:val="4A167771"/>
    <w:rsid w:val="4A260D08"/>
    <w:rsid w:val="4A313A26"/>
    <w:rsid w:val="4A5C4B6A"/>
    <w:rsid w:val="4A960D9F"/>
    <w:rsid w:val="4A9D109F"/>
    <w:rsid w:val="4AA26FEA"/>
    <w:rsid w:val="4AAE5EE0"/>
    <w:rsid w:val="4AB13FA2"/>
    <w:rsid w:val="4AC2626D"/>
    <w:rsid w:val="4ADA6658"/>
    <w:rsid w:val="4AE40A60"/>
    <w:rsid w:val="4AFAE45B"/>
    <w:rsid w:val="4AFEDCDB"/>
    <w:rsid w:val="4B0814FE"/>
    <w:rsid w:val="4B0C42BC"/>
    <w:rsid w:val="4B0E61F2"/>
    <w:rsid w:val="4B324A81"/>
    <w:rsid w:val="4B3B64EC"/>
    <w:rsid w:val="4B450EB9"/>
    <w:rsid w:val="4B7FB683"/>
    <w:rsid w:val="4B9B0D47"/>
    <w:rsid w:val="4BBA0128"/>
    <w:rsid w:val="4BBE2662"/>
    <w:rsid w:val="4BC87DB1"/>
    <w:rsid w:val="4BDE5BC4"/>
    <w:rsid w:val="4BF24B1A"/>
    <w:rsid w:val="4BFF2664"/>
    <w:rsid w:val="4C1C36D7"/>
    <w:rsid w:val="4C51283A"/>
    <w:rsid w:val="4C561334"/>
    <w:rsid w:val="4C562321"/>
    <w:rsid w:val="4C5C3066"/>
    <w:rsid w:val="4C806C7C"/>
    <w:rsid w:val="4C810C62"/>
    <w:rsid w:val="4C820C46"/>
    <w:rsid w:val="4C891FD4"/>
    <w:rsid w:val="4C9856FF"/>
    <w:rsid w:val="4CA76B54"/>
    <w:rsid w:val="4CAF695B"/>
    <w:rsid w:val="4CD47ACD"/>
    <w:rsid w:val="4CD67360"/>
    <w:rsid w:val="4CE92A73"/>
    <w:rsid w:val="4CF22964"/>
    <w:rsid w:val="4D00669A"/>
    <w:rsid w:val="4D1216FF"/>
    <w:rsid w:val="4D2F4CF1"/>
    <w:rsid w:val="4D3A1520"/>
    <w:rsid w:val="4D485A99"/>
    <w:rsid w:val="4D555F59"/>
    <w:rsid w:val="4D594628"/>
    <w:rsid w:val="4D7439F3"/>
    <w:rsid w:val="4D88670C"/>
    <w:rsid w:val="4D8E53C8"/>
    <w:rsid w:val="4DAA460C"/>
    <w:rsid w:val="4DAC584E"/>
    <w:rsid w:val="4DAD0E02"/>
    <w:rsid w:val="4DB92B63"/>
    <w:rsid w:val="4DC376C2"/>
    <w:rsid w:val="4DD64529"/>
    <w:rsid w:val="4DDF391B"/>
    <w:rsid w:val="4DE017A3"/>
    <w:rsid w:val="4DE02688"/>
    <w:rsid w:val="4DE46C7A"/>
    <w:rsid w:val="4DE6234A"/>
    <w:rsid w:val="4DF81258"/>
    <w:rsid w:val="4DFE42FC"/>
    <w:rsid w:val="4DFFD546"/>
    <w:rsid w:val="4E315F0D"/>
    <w:rsid w:val="4E610774"/>
    <w:rsid w:val="4E7D4DD8"/>
    <w:rsid w:val="4E920EE8"/>
    <w:rsid w:val="4EA60CB6"/>
    <w:rsid w:val="4EB6029F"/>
    <w:rsid w:val="4EC119BA"/>
    <w:rsid w:val="4EC6446B"/>
    <w:rsid w:val="4EF760F7"/>
    <w:rsid w:val="4F106DA0"/>
    <w:rsid w:val="4F195165"/>
    <w:rsid w:val="4F317C2C"/>
    <w:rsid w:val="4F565FF7"/>
    <w:rsid w:val="4F5B8567"/>
    <w:rsid w:val="4F7D3B1A"/>
    <w:rsid w:val="4F7FD12D"/>
    <w:rsid w:val="4F83044B"/>
    <w:rsid w:val="4F8E3AB7"/>
    <w:rsid w:val="4F8FB72D"/>
    <w:rsid w:val="4F910024"/>
    <w:rsid w:val="4F9FFE86"/>
    <w:rsid w:val="4FA32CE3"/>
    <w:rsid w:val="4FBA65B8"/>
    <w:rsid w:val="4FBD3D43"/>
    <w:rsid w:val="4FDFF516"/>
    <w:rsid w:val="4FE0121F"/>
    <w:rsid w:val="4FE02961"/>
    <w:rsid w:val="4FEB2ED5"/>
    <w:rsid w:val="4FF5172F"/>
    <w:rsid w:val="4FFB41A7"/>
    <w:rsid w:val="4FFC0D0F"/>
    <w:rsid w:val="503316BF"/>
    <w:rsid w:val="50351342"/>
    <w:rsid w:val="5052630D"/>
    <w:rsid w:val="50663D23"/>
    <w:rsid w:val="50680152"/>
    <w:rsid w:val="508C52D1"/>
    <w:rsid w:val="5092650C"/>
    <w:rsid w:val="50963E85"/>
    <w:rsid w:val="50AF7B2F"/>
    <w:rsid w:val="50D754F2"/>
    <w:rsid w:val="50E3458D"/>
    <w:rsid w:val="513C0E2B"/>
    <w:rsid w:val="513F5283"/>
    <w:rsid w:val="51501312"/>
    <w:rsid w:val="51516E38"/>
    <w:rsid w:val="515C406F"/>
    <w:rsid w:val="516528E4"/>
    <w:rsid w:val="5176383A"/>
    <w:rsid w:val="5181369F"/>
    <w:rsid w:val="51925198"/>
    <w:rsid w:val="51940032"/>
    <w:rsid w:val="51B51175"/>
    <w:rsid w:val="51E06B66"/>
    <w:rsid w:val="51E56D7F"/>
    <w:rsid w:val="51E60876"/>
    <w:rsid w:val="51F333B6"/>
    <w:rsid w:val="520B5239"/>
    <w:rsid w:val="52106D32"/>
    <w:rsid w:val="5216678E"/>
    <w:rsid w:val="52304CA0"/>
    <w:rsid w:val="52422F16"/>
    <w:rsid w:val="525063D4"/>
    <w:rsid w:val="528E1C2F"/>
    <w:rsid w:val="52A402D7"/>
    <w:rsid w:val="52C553E8"/>
    <w:rsid w:val="52E07271"/>
    <w:rsid w:val="52EF3659"/>
    <w:rsid w:val="52F5763C"/>
    <w:rsid w:val="530028C4"/>
    <w:rsid w:val="530C12BE"/>
    <w:rsid w:val="530F2B07"/>
    <w:rsid w:val="53332C9A"/>
    <w:rsid w:val="534263BF"/>
    <w:rsid w:val="535A6678"/>
    <w:rsid w:val="536A2433"/>
    <w:rsid w:val="536FEB0F"/>
    <w:rsid w:val="5371798B"/>
    <w:rsid w:val="537D22D5"/>
    <w:rsid w:val="53801D43"/>
    <w:rsid w:val="53817141"/>
    <w:rsid w:val="53B465FE"/>
    <w:rsid w:val="53B80837"/>
    <w:rsid w:val="53BB25C9"/>
    <w:rsid w:val="53BF2D49"/>
    <w:rsid w:val="53D63625"/>
    <w:rsid w:val="53D87615"/>
    <w:rsid w:val="53DE6D19"/>
    <w:rsid w:val="53EF0A0E"/>
    <w:rsid w:val="540F386B"/>
    <w:rsid w:val="541C56F5"/>
    <w:rsid w:val="543C1E9B"/>
    <w:rsid w:val="54534C76"/>
    <w:rsid w:val="545A7D64"/>
    <w:rsid w:val="54761F9A"/>
    <w:rsid w:val="547D408D"/>
    <w:rsid w:val="548E5CAE"/>
    <w:rsid w:val="54924DBD"/>
    <w:rsid w:val="54A77C29"/>
    <w:rsid w:val="54B037E1"/>
    <w:rsid w:val="54D3B19A"/>
    <w:rsid w:val="54DD70B9"/>
    <w:rsid w:val="54F9A219"/>
    <w:rsid w:val="550C44B6"/>
    <w:rsid w:val="55102B67"/>
    <w:rsid w:val="55124922"/>
    <w:rsid w:val="55240B56"/>
    <w:rsid w:val="55340047"/>
    <w:rsid w:val="55362D4A"/>
    <w:rsid w:val="55663A86"/>
    <w:rsid w:val="558A2919"/>
    <w:rsid w:val="558D7767"/>
    <w:rsid w:val="559368AB"/>
    <w:rsid w:val="559D2CA7"/>
    <w:rsid w:val="55B47358"/>
    <w:rsid w:val="55BB6F76"/>
    <w:rsid w:val="55BF71EE"/>
    <w:rsid w:val="55CA6EEB"/>
    <w:rsid w:val="55CE3D27"/>
    <w:rsid w:val="55E468DC"/>
    <w:rsid w:val="55E62245"/>
    <w:rsid w:val="55E93AE3"/>
    <w:rsid w:val="55EB6EB2"/>
    <w:rsid w:val="55EFC158"/>
    <w:rsid w:val="55FB148C"/>
    <w:rsid w:val="56063441"/>
    <w:rsid w:val="56095F34"/>
    <w:rsid w:val="56096EB0"/>
    <w:rsid w:val="561658F7"/>
    <w:rsid w:val="56460B17"/>
    <w:rsid w:val="566841EB"/>
    <w:rsid w:val="566A735D"/>
    <w:rsid w:val="567D2B74"/>
    <w:rsid w:val="56882CAE"/>
    <w:rsid w:val="569532CA"/>
    <w:rsid w:val="569A0274"/>
    <w:rsid w:val="569D09CF"/>
    <w:rsid w:val="56AA6340"/>
    <w:rsid w:val="56B260B3"/>
    <w:rsid w:val="56B624FB"/>
    <w:rsid w:val="56BE6CC3"/>
    <w:rsid w:val="56CF71FD"/>
    <w:rsid w:val="56D26326"/>
    <w:rsid w:val="56DE4862"/>
    <w:rsid w:val="56E6295B"/>
    <w:rsid w:val="56F169FF"/>
    <w:rsid w:val="56F5067C"/>
    <w:rsid w:val="56F57BB8"/>
    <w:rsid w:val="56F783CA"/>
    <w:rsid w:val="56FD1D07"/>
    <w:rsid w:val="57007337"/>
    <w:rsid w:val="570A0FF8"/>
    <w:rsid w:val="57392849"/>
    <w:rsid w:val="573E1E21"/>
    <w:rsid w:val="575907F5"/>
    <w:rsid w:val="5763735F"/>
    <w:rsid w:val="577DC9F1"/>
    <w:rsid w:val="577FE97D"/>
    <w:rsid w:val="57875362"/>
    <w:rsid w:val="57905305"/>
    <w:rsid w:val="57BD1E91"/>
    <w:rsid w:val="57BD4C4E"/>
    <w:rsid w:val="57C25CFB"/>
    <w:rsid w:val="57DF3E29"/>
    <w:rsid w:val="57E684E4"/>
    <w:rsid w:val="57EE8AB5"/>
    <w:rsid w:val="57EF43AB"/>
    <w:rsid w:val="57EFCE50"/>
    <w:rsid w:val="57F329F7"/>
    <w:rsid w:val="57F7CD10"/>
    <w:rsid w:val="57FD360C"/>
    <w:rsid w:val="57FD62CE"/>
    <w:rsid w:val="57FE5144"/>
    <w:rsid w:val="57FE96FD"/>
    <w:rsid w:val="58142F85"/>
    <w:rsid w:val="581666E6"/>
    <w:rsid w:val="583E0829"/>
    <w:rsid w:val="58A91308"/>
    <w:rsid w:val="58AE256F"/>
    <w:rsid w:val="58B15932"/>
    <w:rsid w:val="58C65516"/>
    <w:rsid w:val="58E14F46"/>
    <w:rsid w:val="58E7052E"/>
    <w:rsid w:val="58F84CED"/>
    <w:rsid w:val="58FF717A"/>
    <w:rsid w:val="58FF7931"/>
    <w:rsid w:val="59053EBF"/>
    <w:rsid w:val="5917412E"/>
    <w:rsid w:val="5918057F"/>
    <w:rsid w:val="59187C48"/>
    <w:rsid w:val="592E41C7"/>
    <w:rsid w:val="59316405"/>
    <w:rsid w:val="593E4F37"/>
    <w:rsid w:val="593E7E74"/>
    <w:rsid w:val="594E2DC4"/>
    <w:rsid w:val="59590F80"/>
    <w:rsid w:val="595963E1"/>
    <w:rsid w:val="595D63E6"/>
    <w:rsid w:val="596335AA"/>
    <w:rsid w:val="596B67A0"/>
    <w:rsid w:val="596F5479"/>
    <w:rsid w:val="59716BE4"/>
    <w:rsid w:val="59797FF4"/>
    <w:rsid w:val="59AC5F35"/>
    <w:rsid w:val="59AE3A31"/>
    <w:rsid w:val="59B67D64"/>
    <w:rsid w:val="59C503C4"/>
    <w:rsid w:val="59D7060E"/>
    <w:rsid w:val="59EF766D"/>
    <w:rsid w:val="59EF8669"/>
    <w:rsid w:val="5A1153B7"/>
    <w:rsid w:val="5A4810DC"/>
    <w:rsid w:val="5A5832FD"/>
    <w:rsid w:val="5A6E0912"/>
    <w:rsid w:val="5AB7603F"/>
    <w:rsid w:val="5AD61DA6"/>
    <w:rsid w:val="5ADF0EF0"/>
    <w:rsid w:val="5AF336E4"/>
    <w:rsid w:val="5AFE00AD"/>
    <w:rsid w:val="5B01542B"/>
    <w:rsid w:val="5B1D1B6B"/>
    <w:rsid w:val="5B3670B9"/>
    <w:rsid w:val="5B394BC5"/>
    <w:rsid w:val="5B3B7992"/>
    <w:rsid w:val="5B487E91"/>
    <w:rsid w:val="5B4B1D4C"/>
    <w:rsid w:val="5B67B59F"/>
    <w:rsid w:val="5B6D00D4"/>
    <w:rsid w:val="5B730EC6"/>
    <w:rsid w:val="5B7594A9"/>
    <w:rsid w:val="5B77E9D9"/>
    <w:rsid w:val="5B7C0F56"/>
    <w:rsid w:val="5B7F35E8"/>
    <w:rsid w:val="5B863B83"/>
    <w:rsid w:val="5B9920E1"/>
    <w:rsid w:val="5B9B13DC"/>
    <w:rsid w:val="5B9E2B54"/>
    <w:rsid w:val="5BAB6ABC"/>
    <w:rsid w:val="5BBBC89A"/>
    <w:rsid w:val="5BBE156E"/>
    <w:rsid w:val="5BBF3C9A"/>
    <w:rsid w:val="5BBF3F9B"/>
    <w:rsid w:val="5BCDE755"/>
    <w:rsid w:val="5BD112A2"/>
    <w:rsid w:val="5BD4669C"/>
    <w:rsid w:val="5BDEB957"/>
    <w:rsid w:val="5BDF2DD1"/>
    <w:rsid w:val="5BDF7909"/>
    <w:rsid w:val="5BDFFBFC"/>
    <w:rsid w:val="5BE67C8A"/>
    <w:rsid w:val="5BEF2C62"/>
    <w:rsid w:val="5BFB74CF"/>
    <w:rsid w:val="5BFBA2C5"/>
    <w:rsid w:val="5C062E36"/>
    <w:rsid w:val="5C0827EA"/>
    <w:rsid w:val="5C247A27"/>
    <w:rsid w:val="5C2515ED"/>
    <w:rsid w:val="5C735EB5"/>
    <w:rsid w:val="5C77B693"/>
    <w:rsid w:val="5C7848DF"/>
    <w:rsid w:val="5C854657"/>
    <w:rsid w:val="5C9A4EB4"/>
    <w:rsid w:val="5CA841E0"/>
    <w:rsid w:val="5CAF2739"/>
    <w:rsid w:val="5CB436F7"/>
    <w:rsid w:val="5CBA5AFD"/>
    <w:rsid w:val="5CDD543C"/>
    <w:rsid w:val="5CDF23FE"/>
    <w:rsid w:val="5CF6674B"/>
    <w:rsid w:val="5CF9550F"/>
    <w:rsid w:val="5CFFD3AD"/>
    <w:rsid w:val="5D093BD3"/>
    <w:rsid w:val="5D381D80"/>
    <w:rsid w:val="5D5E0913"/>
    <w:rsid w:val="5D72616D"/>
    <w:rsid w:val="5D874D67"/>
    <w:rsid w:val="5DBA0C73"/>
    <w:rsid w:val="5DBFDBA2"/>
    <w:rsid w:val="5DDC521D"/>
    <w:rsid w:val="5DE606C2"/>
    <w:rsid w:val="5DE7E609"/>
    <w:rsid w:val="5DEB1133"/>
    <w:rsid w:val="5DED083A"/>
    <w:rsid w:val="5DED7EE9"/>
    <w:rsid w:val="5DED94F7"/>
    <w:rsid w:val="5DF23751"/>
    <w:rsid w:val="5DF42C7F"/>
    <w:rsid w:val="5DFC6F87"/>
    <w:rsid w:val="5DFE343D"/>
    <w:rsid w:val="5DFF4F01"/>
    <w:rsid w:val="5E043FD3"/>
    <w:rsid w:val="5E373159"/>
    <w:rsid w:val="5E55774C"/>
    <w:rsid w:val="5E56A2F4"/>
    <w:rsid w:val="5E5B67CE"/>
    <w:rsid w:val="5E68756F"/>
    <w:rsid w:val="5E6E3037"/>
    <w:rsid w:val="5E7C3368"/>
    <w:rsid w:val="5EAEB080"/>
    <w:rsid w:val="5EB00087"/>
    <w:rsid w:val="5EB7823B"/>
    <w:rsid w:val="5EBFDB1A"/>
    <w:rsid w:val="5EC23124"/>
    <w:rsid w:val="5EC90069"/>
    <w:rsid w:val="5EDA221B"/>
    <w:rsid w:val="5EDB6CA6"/>
    <w:rsid w:val="5EDF5B9B"/>
    <w:rsid w:val="5EE3341E"/>
    <w:rsid w:val="5EE5730B"/>
    <w:rsid w:val="5EE75CF9"/>
    <w:rsid w:val="5EE7FD55"/>
    <w:rsid w:val="5EE94B54"/>
    <w:rsid w:val="5EED402A"/>
    <w:rsid w:val="5EEE5138"/>
    <w:rsid w:val="5EEFC605"/>
    <w:rsid w:val="5EF5D5A7"/>
    <w:rsid w:val="5EF7549C"/>
    <w:rsid w:val="5EF82676"/>
    <w:rsid w:val="5EFBE286"/>
    <w:rsid w:val="5EFE6760"/>
    <w:rsid w:val="5EFEBDE8"/>
    <w:rsid w:val="5F071262"/>
    <w:rsid w:val="5F0D2788"/>
    <w:rsid w:val="5F1B2B54"/>
    <w:rsid w:val="5F29A296"/>
    <w:rsid w:val="5F36A53B"/>
    <w:rsid w:val="5F3B80D0"/>
    <w:rsid w:val="5F3D2FCB"/>
    <w:rsid w:val="5F3F24D9"/>
    <w:rsid w:val="5F5D2C03"/>
    <w:rsid w:val="5F5F817E"/>
    <w:rsid w:val="5F6A078D"/>
    <w:rsid w:val="5F6F3501"/>
    <w:rsid w:val="5F6FA60B"/>
    <w:rsid w:val="5F742EAE"/>
    <w:rsid w:val="5F75703D"/>
    <w:rsid w:val="5F76C8DD"/>
    <w:rsid w:val="5F76F5DD"/>
    <w:rsid w:val="5F7B6446"/>
    <w:rsid w:val="5F7E8410"/>
    <w:rsid w:val="5F7EFBD0"/>
    <w:rsid w:val="5F824661"/>
    <w:rsid w:val="5F8F58FD"/>
    <w:rsid w:val="5F9CA966"/>
    <w:rsid w:val="5FB582FE"/>
    <w:rsid w:val="5FCD77FA"/>
    <w:rsid w:val="5FDADBF1"/>
    <w:rsid w:val="5FDFE637"/>
    <w:rsid w:val="5FE68CD3"/>
    <w:rsid w:val="5FED2443"/>
    <w:rsid w:val="5FEFF63C"/>
    <w:rsid w:val="5FFB9C34"/>
    <w:rsid w:val="5FFFE3FC"/>
    <w:rsid w:val="60127C0F"/>
    <w:rsid w:val="601812FE"/>
    <w:rsid w:val="6037210C"/>
    <w:rsid w:val="60432042"/>
    <w:rsid w:val="60446A85"/>
    <w:rsid w:val="604A2B7D"/>
    <w:rsid w:val="604B360A"/>
    <w:rsid w:val="604B7450"/>
    <w:rsid w:val="605E6E7C"/>
    <w:rsid w:val="606A2A04"/>
    <w:rsid w:val="606B0C37"/>
    <w:rsid w:val="606C1FF9"/>
    <w:rsid w:val="60726177"/>
    <w:rsid w:val="607557E9"/>
    <w:rsid w:val="60793CB6"/>
    <w:rsid w:val="60810A9F"/>
    <w:rsid w:val="60851358"/>
    <w:rsid w:val="60932FCA"/>
    <w:rsid w:val="60C34F31"/>
    <w:rsid w:val="60C94376"/>
    <w:rsid w:val="60CF38D6"/>
    <w:rsid w:val="60E031AA"/>
    <w:rsid w:val="610B56F0"/>
    <w:rsid w:val="61134276"/>
    <w:rsid w:val="611440D5"/>
    <w:rsid w:val="61180C57"/>
    <w:rsid w:val="61283090"/>
    <w:rsid w:val="612B107A"/>
    <w:rsid w:val="612C6F7A"/>
    <w:rsid w:val="612E684E"/>
    <w:rsid w:val="613F6B74"/>
    <w:rsid w:val="615A31FB"/>
    <w:rsid w:val="617701F5"/>
    <w:rsid w:val="61862D40"/>
    <w:rsid w:val="61A71DDD"/>
    <w:rsid w:val="61AB7E9F"/>
    <w:rsid w:val="61AD00BB"/>
    <w:rsid w:val="61BC3E5D"/>
    <w:rsid w:val="61C6117D"/>
    <w:rsid w:val="61CC08C9"/>
    <w:rsid w:val="61FC4013"/>
    <w:rsid w:val="625153B1"/>
    <w:rsid w:val="627A277D"/>
    <w:rsid w:val="62892409"/>
    <w:rsid w:val="62927182"/>
    <w:rsid w:val="629372B1"/>
    <w:rsid w:val="62AD38B7"/>
    <w:rsid w:val="62CC4F22"/>
    <w:rsid w:val="62DA4540"/>
    <w:rsid w:val="62EC6B66"/>
    <w:rsid w:val="62EF97F0"/>
    <w:rsid w:val="62F75092"/>
    <w:rsid w:val="63071A4D"/>
    <w:rsid w:val="630B33CF"/>
    <w:rsid w:val="633A3BD0"/>
    <w:rsid w:val="6355379B"/>
    <w:rsid w:val="637075F2"/>
    <w:rsid w:val="63707CB6"/>
    <w:rsid w:val="63841614"/>
    <w:rsid w:val="638B78E4"/>
    <w:rsid w:val="639541E8"/>
    <w:rsid w:val="639F57E1"/>
    <w:rsid w:val="63C41C93"/>
    <w:rsid w:val="63E73A58"/>
    <w:rsid w:val="63F7E04C"/>
    <w:rsid w:val="63FA5D9B"/>
    <w:rsid w:val="63FB5626"/>
    <w:rsid w:val="64061766"/>
    <w:rsid w:val="64116946"/>
    <w:rsid w:val="644B238B"/>
    <w:rsid w:val="645741FF"/>
    <w:rsid w:val="647703BF"/>
    <w:rsid w:val="647B624F"/>
    <w:rsid w:val="649A2379"/>
    <w:rsid w:val="649B244D"/>
    <w:rsid w:val="64B55A64"/>
    <w:rsid w:val="64C319A4"/>
    <w:rsid w:val="64E330A7"/>
    <w:rsid w:val="64E35BA2"/>
    <w:rsid w:val="6514179A"/>
    <w:rsid w:val="6518584B"/>
    <w:rsid w:val="65532808"/>
    <w:rsid w:val="655C588C"/>
    <w:rsid w:val="65655F33"/>
    <w:rsid w:val="65766A16"/>
    <w:rsid w:val="658F2796"/>
    <w:rsid w:val="659A13EE"/>
    <w:rsid w:val="65A60CBD"/>
    <w:rsid w:val="65B505B4"/>
    <w:rsid w:val="65BC6B1F"/>
    <w:rsid w:val="65CB1601"/>
    <w:rsid w:val="65E86B02"/>
    <w:rsid w:val="65EB11B2"/>
    <w:rsid w:val="65ED3349"/>
    <w:rsid w:val="65F81244"/>
    <w:rsid w:val="65FD9F25"/>
    <w:rsid w:val="65FDA08C"/>
    <w:rsid w:val="65FFA35B"/>
    <w:rsid w:val="661F3A8D"/>
    <w:rsid w:val="66210EA6"/>
    <w:rsid w:val="663E0FD0"/>
    <w:rsid w:val="66417D66"/>
    <w:rsid w:val="666FFCBE"/>
    <w:rsid w:val="669A355D"/>
    <w:rsid w:val="669F746D"/>
    <w:rsid w:val="66B82A1D"/>
    <w:rsid w:val="66CD2720"/>
    <w:rsid w:val="66E7215A"/>
    <w:rsid w:val="66EA76BB"/>
    <w:rsid w:val="66F0321F"/>
    <w:rsid w:val="67242BCD"/>
    <w:rsid w:val="672500B3"/>
    <w:rsid w:val="672D7E08"/>
    <w:rsid w:val="672F1572"/>
    <w:rsid w:val="67382550"/>
    <w:rsid w:val="6764CC94"/>
    <w:rsid w:val="67650376"/>
    <w:rsid w:val="676F9FA3"/>
    <w:rsid w:val="677B7551"/>
    <w:rsid w:val="677E1655"/>
    <w:rsid w:val="678EFF6B"/>
    <w:rsid w:val="679C66B0"/>
    <w:rsid w:val="679D028A"/>
    <w:rsid w:val="67AB6E4B"/>
    <w:rsid w:val="67B2A003"/>
    <w:rsid w:val="67BD2FCB"/>
    <w:rsid w:val="67BEEDDA"/>
    <w:rsid w:val="67BFDE23"/>
    <w:rsid w:val="67DA6B58"/>
    <w:rsid w:val="67DBAF28"/>
    <w:rsid w:val="67DF57EB"/>
    <w:rsid w:val="67DFA4E1"/>
    <w:rsid w:val="67EA0323"/>
    <w:rsid w:val="67EE653C"/>
    <w:rsid w:val="67F00D02"/>
    <w:rsid w:val="67F51B98"/>
    <w:rsid w:val="67F68F6D"/>
    <w:rsid w:val="67F70C86"/>
    <w:rsid w:val="67F753E2"/>
    <w:rsid w:val="67FAC5F5"/>
    <w:rsid w:val="67FB1CF4"/>
    <w:rsid w:val="67FBD462"/>
    <w:rsid w:val="67FF0FE6"/>
    <w:rsid w:val="67FFBE03"/>
    <w:rsid w:val="68212C69"/>
    <w:rsid w:val="683055E0"/>
    <w:rsid w:val="685E2C16"/>
    <w:rsid w:val="68BB3C1A"/>
    <w:rsid w:val="68BEFE50"/>
    <w:rsid w:val="68C146E7"/>
    <w:rsid w:val="68CA2609"/>
    <w:rsid w:val="68CC1AED"/>
    <w:rsid w:val="68CD2B5E"/>
    <w:rsid w:val="68E714C9"/>
    <w:rsid w:val="68E9380F"/>
    <w:rsid w:val="68F55EA4"/>
    <w:rsid w:val="68F65F5C"/>
    <w:rsid w:val="69094DDC"/>
    <w:rsid w:val="6912081D"/>
    <w:rsid w:val="69140A20"/>
    <w:rsid w:val="691E4EBF"/>
    <w:rsid w:val="691E6E1A"/>
    <w:rsid w:val="694C640B"/>
    <w:rsid w:val="694D0F74"/>
    <w:rsid w:val="696E4CF1"/>
    <w:rsid w:val="696F5C56"/>
    <w:rsid w:val="698A0EB3"/>
    <w:rsid w:val="69905C47"/>
    <w:rsid w:val="69A16A5A"/>
    <w:rsid w:val="69AA560F"/>
    <w:rsid w:val="69B14B9D"/>
    <w:rsid w:val="69BB0F42"/>
    <w:rsid w:val="69E13C23"/>
    <w:rsid w:val="69E44896"/>
    <w:rsid w:val="69EE3063"/>
    <w:rsid w:val="6A0A6C1A"/>
    <w:rsid w:val="6A320795"/>
    <w:rsid w:val="6A637494"/>
    <w:rsid w:val="6A771266"/>
    <w:rsid w:val="6AD572A9"/>
    <w:rsid w:val="6ADE0446"/>
    <w:rsid w:val="6AE76759"/>
    <w:rsid w:val="6AF64570"/>
    <w:rsid w:val="6AFE8156"/>
    <w:rsid w:val="6AFFA5C9"/>
    <w:rsid w:val="6B272C8C"/>
    <w:rsid w:val="6B2F1B41"/>
    <w:rsid w:val="6B332268"/>
    <w:rsid w:val="6B376C47"/>
    <w:rsid w:val="6B3FC6FA"/>
    <w:rsid w:val="6B44012D"/>
    <w:rsid w:val="6B4D5C8F"/>
    <w:rsid w:val="6B6F4E93"/>
    <w:rsid w:val="6B8160BE"/>
    <w:rsid w:val="6B875CE9"/>
    <w:rsid w:val="6B9F066B"/>
    <w:rsid w:val="6BB2C582"/>
    <w:rsid w:val="6BB727D7"/>
    <w:rsid w:val="6BB77DE6"/>
    <w:rsid w:val="6BCF62E6"/>
    <w:rsid w:val="6BDF234E"/>
    <w:rsid w:val="6BEB702E"/>
    <w:rsid w:val="6BF402CB"/>
    <w:rsid w:val="6BF7E7BA"/>
    <w:rsid w:val="6BF7F790"/>
    <w:rsid w:val="6BFA64B8"/>
    <w:rsid w:val="6BFC9D82"/>
    <w:rsid w:val="6BFE1820"/>
    <w:rsid w:val="6C22112B"/>
    <w:rsid w:val="6C48094C"/>
    <w:rsid w:val="6C7FE446"/>
    <w:rsid w:val="6C9D0D2C"/>
    <w:rsid w:val="6C9F17B1"/>
    <w:rsid w:val="6CBB0F79"/>
    <w:rsid w:val="6CCF5DD4"/>
    <w:rsid w:val="6CD3A16D"/>
    <w:rsid w:val="6CE64869"/>
    <w:rsid w:val="6CE7FE11"/>
    <w:rsid w:val="6CEB68FD"/>
    <w:rsid w:val="6CFBD556"/>
    <w:rsid w:val="6CFFED4F"/>
    <w:rsid w:val="6D05232B"/>
    <w:rsid w:val="6D201AAA"/>
    <w:rsid w:val="6D21131A"/>
    <w:rsid w:val="6D2B3891"/>
    <w:rsid w:val="6D2C2A4F"/>
    <w:rsid w:val="6D2F7020"/>
    <w:rsid w:val="6D3E7E26"/>
    <w:rsid w:val="6D484DC2"/>
    <w:rsid w:val="6D4F0278"/>
    <w:rsid w:val="6D516F94"/>
    <w:rsid w:val="6D535020"/>
    <w:rsid w:val="6D552C30"/>
    <w:rsid w:val="6D5F1B3D"/>
    <w:rsid w:val="6D696D1C"/>
    <w:rsid w:val="6D7101EF"/>
    <w:rsid w:val="6DB7D73F"/>
    <w:rsid w:val="6DC507B0"/>
    <w:rsid w:val="6DC9627D"/>
    <w:rsid w:val="6DCA3DA3"/>
    <w:rsid w:val="6DD60CA2"/>
    <w:rsid w:val="6DDB1B0C"/>
    <w:rsid w:val="6DDBE7BF"/>
    <w:rsid w:val="6DDF51C9"/>
    <w:rsid w:val="6DF17581"/>
    <w:rsid w:val="6DF37591"/>
    <w:rsid w:val="6DFB56FE"/>
    <w:rsid w:val="6DFF1692"/>
    <w:rsid w:val="6DFF17D3"/>
    <w:rsid w:val="6E326900"/>
    <w:rsid w:val="6E38414C"/>
    <w:rsid w:val="6E3851B0"/>
    <w:rsid w:val="6E390680"/>
    <w:rsid w:val="6E441099"/>
    <w:rsid w:val="6E5D8D12"/>
    <w:rsid w:val="6E5F49A6"/>
    <w:rsid w:val="6E7F4871"/>
    <w:rsid w:val="6E8060D9"/>
    <w:rsid w:val="6E8432A7"/>
    <w:rsid w:val="6E8C8702"/>
    <w:rsid w:val="6E9A15E4"/>
    <w:rsid w:val="6E9F73C1"/>
    <w:rsid w:val="6EA30BD3"/>
    <w:rsid w:val="6EA82557"/>
    <w:rsid w:val="6EBA5633"/>
    <w:rsid w:val="6EBAE07A"/>
    <w:rsid w:val="6EBD2982"/>
    <w:rsid w:val="6EC26419"/>
    <w:rsid w:val="6ED94841"/>
    <w:rsid w:val="6EDEB109"/>
    <w:rsid w:val="6EE3511C"/>
    <w:rsid w:val="6EF1599D"/>
    <w:rsid w:val="6EF50484"/>
    <w:rsid w:val="6EFB6B59"/>
    <w:rsid w:val="6EFB7EA7"/>
    <w:rsid w:val="6EFFE660"/>
    <w:rsid w:val="6F1D581A"/>
    <w:rsid w:val="6F1F2B64"/>
    <w:rsid w:val="6F1FD1F1"/>
    <w:rsid w:val="6F2729DD"/>
    <w:rsid w:val="6F3064A7"/>
    <w:rsid w:val="6F3A0AB4"/>
    <w:rsid w:val="6F653D83"/>
    <w:rsid w:val="6F658ABE"/>
    <w:rsid w:val="6F6C40DC"/>
    <w:rsid w:val="6F7242AA"/>
    <w:rsid w:val="6F76AB6E"/>
    <w:rsid w:val="6F7E8F25"/>
    <w:rsid w:val="6FAFB1E3"/>
    <w:rsid w:val="6FBE3F11"/>
    <w:rsid w:val="6FBEABF1"/>
    <w:rsid w:val="6FBF5839"/>
    <w:rsid w:val="6FBFF9D5"/>
    <w:rsid w:val="6FC40BD0"/>
    <w:rsid w:val="6FC9D63F"/>
    <w:rsid w:val="6FD31416"/>
    <w:rsid w:val="6FD35191"/>
    <w:rsid w:val="6FD739D0"/>
    <w:rsid w:val="6FDBADA1"/>
    <w:rsid w:val="6FDCD7E8"/>
    <w:rsid w:val="6FDD7DBD"/>
    <w:rsid w:val="6FDF257D"/>
    <w:rsid w:val="6FE731C7"/>
    <w:rsid w:val="6FE769C0"/>
    <w:rsid w:val="6FEFB5A9"/>
    <w:rsid w:val="6FF506BB"/>
    <w:rsid w:val="6FF7744B"/>
    <w:rsid w:val="6FFB9269"/>
    <w:rsid w:val="6FFD3638"/>
    <w:rsid w:val="6FFD5F18"/>
    <w:rsid w:val="6FFF1221"/>
    <w:rsid w:val="6FFF37D2"/>
    <w:rsid w:val="6FFF9957"/>
    <w:rsid w:val="6FFFCA9E"/>
    <w:rsid w:val="701C39A1"/>
    <w:rsid w:val="70433998"/>
    <w:rsid w:val="704537CE"/>
    <w:rsid w:val="705242F2"/>
    <w:rsid w:val="70AD1920"/>
    <w:rsid w:val="70C8281B"/>
    <w:rsid w:val="70DE2EF1"/>
    <w:rsid w:val="70E946A1"/>
    <w:rsid w:val="70EC075E"/>
    <w:rsid w:val="7111179A"/>
    <w:rsid w:val="71153048"/>
    <w:rsid w:val="71172F64"/>
    <w:rsid w:val="711E7547"/>
    <w:rsid w:val="71334B0C"/>
    <w:rsid w:val="713944DB"/>
    <w:rsid w:val="714D4ACF"/>
    <w:rsid w:val="714D61F8"/>
    <w:rsid w:val="715A543E"/>
    <w:rsid w:val="71925BBA"/>
    <w:rsid w:val="719E54A9"/>
    <w:rsid w:val="71A861A9"/>
    <w:rsid w:val="71C310EB"/>
    <w:rsid w:val="71D22E03"/>
    <w:rsid w:val="71EF3DD8"/>
    <w:rsid w:val="71FD7F0A"/>
    <w:rsid w:val="722642DD"/>
    <w:rsid w:val="72434F77"/>
    <w:rsid w:val="724A1690"/>
    <w:rsid w:val="72571A58"/>
    <w:rsid w:val="72710C91"/>
    <w:rsid w:val="72760055"/>
    <w:rsid w:val="72901B70"/>
    <w:rsid w:val="72905936"/>
    <w:rsid w:val="72A31689"/>
    <w:rsid w:val="72A844B8"/>
    <w:rsid w:val="72AE3712"/>
    <w:rsid w:val="72BB015E"/>
    <w:rsid w:val="72BE5664"/>
    <w:rsid w:val="72BFF311"/>
    <w:rsid w:val="72F64878"/>
    <w:rsid w:val="72FD0171"/>
    <w:rsid w:val="731D4975"/>
    <w:rsid w:val="732E6B82"/>
    <w:rsid w:val="733E0DE9"/>
    <w:rsid w:val="733F2B3D"/>
    <w:rsid w:val="735F0AE9"/>
    <w:rsid w:val="735FBDFB"/>
    <w:rsid w:val="73BBD739"/>
    <w:rsid w:val="73BFBBC8"/>
    <w:rsid w:val="73CF192B"/>
    <w:rsid w:val="73CFDE0D"/>
    <w:rsid w:val="73E5D3F8"/>
    <w:rsid w:val="73EF34D5"/>
    <w:rsid w:val="73FFD778"/>
    <w:rsid w:val="74277859"/>
    <w:rsid w:val="7437A8A2"/>
    <w:rsid w:val="746D2D67"/>
    <w:rsid w:val="74934EEE"/>
    <w:rsid w:val="74A378D7"/>
    <w:rsid w:val="74A93097"/>
    <w:rsid w:val="74AA375E"/>
    <w:rsid w:val="74B17836"/>
    <w:rsid w:val="74B45345"/>
    <w:rsid w:val="74B75668"/>
    <w:rsid w:val="74C57AA1"/>
    <w:rsid w:val="74CDE9A5"/>
    <w:rsid w:val="74DB0643"/>
    <w:rsid w:val="74DD0B54"/>
    <w:rsid w:val="74DF046A"/>
    <w:rsid w:val="74FE37C6"/>
    <w:rsid w:val="75121B9E"/>
    <w:rsid w:val="751C10AA"/>
    <w:rsid w:val="752E279A"/>
    <w:rsid w:val="75317FE7"/>
    <w:rsid w:val="7538683A"/>
    <w:rsid w:val="75440E09"/>
    <w:rsid w:val="755E4BB8"/>
    <w:rsid w:val="7564579F"/>
    <w:rsid w:val="757B0B3A"/>
    <w:rsid w:val="757E09C8"/>
    <w:rsid w:val="757F3C28"/>
    <w:rsid w:val="757FE401"/>
    <w:rsid w:val="75854F8B"/>
    <w:rsid w:val="75964C07"/>
    <w:rsid w:val="759F981B"/>
    <w:rsid w:val="75A27BD8"/>
    <w:rsid w:val="75AB3F02"/>
    <w:rsid w:val="75B5F6E0"/>
    <w:rsid w:val="75B75963"/>
    <w:rsid w:val="75C02329"/>
    <w:rsid w:val="75C4038F"/>
    <w:rsid w:val="75D73501"/>
    <w:rsid w:val="75DA0E59"/>
    <w:rsid w:val="75F78DD1"/>
    <w:rsid w:val="75FF2FB4"/>
    <w:rsid w:val="75FF6A04"/>
    <w:rsid w:val="75FFB19D"/>
    <w:rsid w:val="7601232C"/>
    <w:rsid w:val="761217D9"/>
    <w:rsid w:val="765048D8"/>
    <w:rsid w:val="765661D4"/>
    <w:rsid w:val="765F4924"/>
    <w:rsid w:val="766823AB"/>
    <w:rsid w:val="76725CE0"/>
    <w:rsid w:val="76726815"/>
    <w:rsid w:val="76760624"/>
    <w:rsid w:val="767E0740"/>
    <w:rsid w:val="767E1BCE"/>
    <w:rsid w:val="768216BE"/>
    <w:rsid w:val="76855DC1"/>
    <w:rsid w:val="768B31D0"/>
    <w:rsid w:val="769CAB48"/>
    <w:rsid w:val="769E19EA"/>
    <w:rsid w:val="76A934EF"/>
    <w:rsid w:val="76C13293"/>
    <w:rsid w:val="76C2046C"/>
    <w:rsid w:val="76D37824"/>
    <w:rsid w:val="76DB006C"/>
    <w:rsid w:val="76DC62DF"/>
    <w:rsid w:val="76DD3EB4"/>
    <w:rsid w:val="76DD959C"/>
    <w:rsid w:val="76DE16BB"/>
    <w:rsid w:val="76E403EF"/>
    <w:rsid w:val="76E93A81"/>
    <w:rsid w:val="76E9529A"/>
    <w:rsid w:val="76ECEEDF"/>
    <w:rsid w:val="76FD4CDF"/>
    <w:rsid w:val="76FDD92D"/>
    <w:rsid w:val="771149DE"/>
    <w:rsid w:val="772DDD19"/>
    <w:rsid w:val="7737EB57"/>
    <w:rsid w:val="77482A08"/>
    <w:rsid w:val="776540E3"/>
    <w:rsid w:val="77671538"/>
    <w:rsid w:val="7771473F"/>
    <w:rsid w:val="777441CE"/>
    <w:rsid w:val="77753FF4"/>
    <w:rsid w:val="777B4DEB"/>
    <w:rsid w:val="777FC7B7"/>
    <w:rsid w:val="777FE422"/>
    <w:rsid w:val="779FAC49"/>
    <w:rsid w:val="77A964D0"/>
    <w:rsid w:val="77AF2768"/>
    <w:rsid w:val="77AF6FC5"/>
    <w:rsid w:val="77B7392F"/>
    <w:rsid w:val="77B92803"/>
    <w:rsid w:val="77BC6017"/>
    <w:rsid w:val="77BEF741"/>
    <w:rsid w:val="77C7039F"/>
    <w:rsid w:val="77CF86E0"/>
    <w:rsid w:val="77D535C3"/>
    <w:rsid w:val="77DB444D"/>
    <w:rsid w:val="77DBE122"/>
    <w:rsid w:val="77E618D8"/>
    <w:rsid w:val="77E7F54E"/>
    <w:rsid w:val="77EAF927"/>
    <w:rsid w:val="77F81366"/>
    <w:rsid w:val="77FB3A67"/>
    <w:rsid w:val="77FCD2F0"/>
    <w:rsid w:val="77FD0DF8"/>
    <w:rsid w:val="77FD6552"/>
    <w:rsid w:val="77FEA750"/>
    <w:rsid w:val="77FF6C33"/>
    <w:rsid w:val="78056103"/>
    <w:rsid w:val="780E2ADE"/>
    <w:rsid w:val="78144598"/>
    <w:rsid w:val="78171102"/>
    <w:rsid w:val="78202F3D"/>
    <w:rsid w:val="78340796"/>
    <w:rsid w:val="78442870"/>
    <w:rsid w:val="784D1015"/>
    <w:rsid w:val="78601D3E"/>
    <w:rsid w:val="7862086D"/>
    <w:rsid w:val="78701C92"/>
    <w:rsid w:val="7872438A"/>
    <w:rsid w:val="78781F20"/>
    <w:rsid w:val="78947487"/>
    <w:rsid w:val="78A6B2A2"/>
    <w:rsid w:val="78B05A0E"/>
    <w:rsid w:val="78BBFBE1"/>
    <w:rsid w:val="78C12D3B"/>
    <w:rsid w:val="78DD2BDC"/>
    <w:rsid w:val="78DD330F"/>
    <w:rsid w:val="78E42949"/>
    <w:rsid w:val="78E721C3"/>
    <w:rsid w:val="78EDD2F1"/>
    <w:rsid w:val="78F764C3"/>
    <w:rsid w:val="78FEB48F"/>
    <w:rsid w:val="78FFE51A"/>
    <w:rsid w:val="793E4BE4"/>
    <w:rsid w:val="79500936"/>
    <w:rsid w:val="796500F1"/>
    <w:rsid w:val="79660E24"/>
    <w:rsid w:val="796C22A6"/>
    <w:rsid w:val="797169C9"/>
    <w:rsid w:val="79772520"/>
    <w:rsid w:val="7977A40D"/>
    <w:rsid w:val="79870D9A"/>
    <w:rsid w:val="798D5A6E"/>
    <w:rsid w:val="79A15333"/>
    <w:rsid w:val="79B7A12E"/>
    <w:rsid w:val="79B952FF"/>
    <w:rsid w:val="79BBBA9B"/>
    <w:rsid w:val="79DD42FA"/>
    <w:rsid w:val="79DE7490"/>
    <w:rsid w:val="79F3642F"/>
    <w:rsid w:val="79FC9715"/>
    <w:rsid w:val="79FFDC99"/>
    <w:rsid w:val="79FFF322"/>
    <w:rsid w:val="7A01456B"/>
    <w:rsid w:val="7A1103F0"/>
    <w:rsid w:val="7A3E6B39"/>
    <w:rsid w:val="7A60342C"/>
    <w:rsid w:val="7A6C043E"/>
    <w:rsid w:val="7A7B0AAD"/>
    <w:rsid w:val="7A9A96AA"/>
    <w:rsid w:val="7AA05CB1"/>
    <w:rsid w:val="7AA2730F"/>
    <w:rsid w:val="7AA975E0"/>
    <w:rsid w:val="7AAA2106"/>
    <w:rsid w:val="7AAA783E"/>
    <w:rsid w:val="7ACE4140"/>
    <w:rsid w:val="7AD01970"/>
    <w:rsid w:val="7AD447E0"/>
    <w:rsid w:val="7ADA324A"/>
    <w:rsid w:val="7ADE51DC"/>
    <w:rsid w:val="7AE04C06"/>
    <w:rsid w:val="7AE534AB"/>
    <w:rsid w:val="7AE7170A"/>
    <w:rsid w:val="7AF11424"/>
    <w:rsid w:val="7AFB4F4E"/>
    <w:rsid w:val="7AFEC5C9"/>
    <w:rsid w:val="7AFEFB72"/>
    <w:rsid w:val="7B116E16"/>
    <w:rsid w:val="7B172113"/>
    <w:rsid w:val="7B253F1A"/>
    <w:rsid w:val="7B271F47"/>
    <w:rsid w:val="7B2F1061"/>
    <w:rsid w:val="7B3F1A98"/>
    <w:rsid w:val="7B5D3071"/>
    <w:rsid w:val="7B631DD3"/>
    <w:rsid w:val="7B668D43"/>
    <w:rsid w:val="7B6E15BA"/>
    <w:rsid w:val="7B742A28"/>
    <w:rsid w:val="7B783090"/>
    <w:rsid w:val="7B7EA3EA"/>
    <w:rsid w:val="7B7F1277"/>
    <w:rsid w:val="7B7F85FF"/>
    <w:rsid w:val="7B9446FF"/>
    <w:rsid w:val="7B9FA30C"/>
    <w:rsid w:val="7BA20599"/>
    <w:rsid w:val="7BAD5C89"/>
    <w:rsid w:val="7BAFD5BE"/>
    <w:rsid w:val="7BB04097"/>
    <w:rsid w:val="7BB7AAE2"/>
    <w:rsid w:val="7BBF6C5C"/>
    <w:rsid w:val="7BD90701"/>
    <w:rsid w:val="7BDC6D6E"/>
    <w:rsid w:val="7BDE9A61"/>
    <w:rsid w:val="7BDF29C5"/>
    <w:rsid w:val="7BDFA41A"/>
    <w:rsid w:val="7BDFD4CA"/>
    <w:rsid w:val="7BE56AB8"/>
    <w:rsid w:val="7BE716BD"/>
    <w:rsid w:val="7BE9B751"/>
    <w:rsid w:val="7BEB2733"/>
    <w:rsid w:val="7BEB3F36"/>
    <w:rsid w:val="7BEC0C0D"/>
    <w:rsid w:val="7BEE3AF6"/>
    <w:rsid w:val="7BF3D35C"/>
    <w:rsid w:val="7BF3F545"/>
    <w:rsid w:val="7BF70F43"/>
    <w:rsid w:val="7BF9B6FD"/>
    <w:rsid w:val="7BFD72D5"/>
    <w:rsid w:val="7BFE8E01"/>
    <w:rsid w:val="7BFF5E1F"/>
    <w:rsid w:val="7BFFDA0F"/>
    <w:rsid w:val="7BFFFF83"/>
    <w:rsid w:val="7C092067"/>
    <w:rsid w:val="7C0C3F27"/>
    <w:rsid w:val="7C273833"/>
    <w:rsid w:val="7C453568"/>
    <w:rsid w:val="7C460A98"/>
    <w:rsid w:val="7C5B3262"/>
    <w:rsid w:val="7C5F4108"/>
    <w:rsid w:val="7C614047"/>
    <w:rsid w:val="7C6D66DD"/>
    <w:rsid w:val="7C7191C8"/>
    <w:rsid w:val="7C73417F"/>
    <w:rsid w:val="7C776FEE"/>
    <w:rsid w:val="7C7966E8"/>
    <w:rsid w:val="7C7B2764"/>
    <w:rsid w:val="7C7FCE38"/>
    <w:rsid w:val="7C8A0590"/>
    <w:rsid w:val="7C943EFA"/>
    <w:rsid w:val="7C972272"/>
    <w:rsid w:val="7C9D0309"/>
    <w:rsid w:val="7C9E2682"/>
    <w:rsid w:val="7CA0539A"/>
    <w:rsid w:val="7CB514D4"/>
    <w:rsid w:val="7CBC311C"/>
    <w:rsid w:val="7CC54D96"/>
    <w:rsid w:val="7CCD381F"/>
    <w:rsid w:val="7CCD3CED"/>
    <w:rsid w:val="7CCEFC80"/>
    <w:rsid w:val="7CCFFD88"/>
    <w:rsid w:val="7CD12A58"/>
    <w:rsid w:val="7CD67CEB"/>
    <w:rsid w:val="7CD7100B"/>
    <w:rsid w:val="7CDFD684"/>
    <w:rsid w:val="7CE23AF4"/>
    <w:rsid w:val="7CF7005E"/>
    <w:rsid w:val="7CFB8603"/>
    <w:rsid w:val="7CFD5235"/>
    <w:rsid w:val="7CFE5AB0"/>
    <w:rsid w:val="7CFF230C"/>
    <w:rsid w:val="7D1103C2"/>
    <w:rsid w:val="7D2E930D"/>
    <w:rsid w:val="7D3547CC"/>
    <w:rsid w:val="7D357A06"/>
    <w:rsid w:val="7D3C352C"/>
    <w:rsid w:val="7D3D3B03"/>
    <w:rsid w:val="7D3E29F9"/>
    <w:rsid w:val="7D6531A0"/>
    <w:rsid w:val="7D6720ED"/>
    <w:rsid w:val="7D730375"/>
    <w:rsid w:val="7D77ABC5"/>
    <w:rsid w:val="7D7A2EAC"/>
    <w:rsid w:val="7D7F2BD0"/>
    <w:rsid w:val="7D7FD867"/>
    <w:rsid w:val="7D804FE9"/>
    <w:rsid w:val="7D8F2381"/>
    <w:rsid w:val="7D9F6D10"/>
    <w:rsid w:val="7DA360E9"/>
    <w:rsid w:val="7DA36C2B"/>
    <w:rsid w:val="7DB042DB"/>
    <w:rsid w:val="7DBE7EAA"/>
    <w:rsid w:val="7DBF00B4"/>
    <w:rsid w:val="7DBF192F"/>
    <w:rsid w:val="7DBF6BAE"/>
    <w:rsid w:val="7DBF71E7"/>
    <w:rsid w:val="7DBFB733"/>
    <w:rsid w:val="7DC94750"/>
    <w:rsid w:val="7DCD2C0D"/>
    <w:rsid w:val="7DD7BEC2"/>
    <w:rsid w:val="7DD9CDF7"/>
    <w:rsid w:val="7DDC7413"/>
    <w:rsid w:val="7DE150DD"/>
    <w:rsid w:val="7DE3FD14"/>
    <w:rsid w:val="7DE5BBCB"/>
    <w:rsid w:val="7DEDEA65"/>
    <w:rsid w:val="7DF21152"/>
    <w:rsid w:val="7DF34C50"/>
    <w:rsid w:val="7DF637CD"/>
    <w:rsid w:val="7DF66C5F"/>
    <w:rsid w:val="7DF77C95"/>
    <w:rsid w:val="7DFB0E3E"/>
    <w:rsid w:val="7DFBAB19"/>
    <w:rsid w:val="7DFC5158"/>
    <w:rsid w:val="7DFD1522"/>
    <w:rsid w:val="7DFDE5CD"/>
    <w:rsid w:val="7DFFC3EA"/>
    <w:rsid w:val="7E14458D"/>
    <w:rsid w:val="7E1F7A70"/>
    <w:rsid w:val="7E1FFAEC"/>
    <w:rsid w:val="7E392F50"/>
    <w:rsid w:val="7E3CFF25"/>
    <w:rsid w:val="7E3FE129"/>
    <w:rsid w:val="7E4403E3"/>
    <w:rsid w:val="7E49C3C2"/>
    <w:rsid w:val="7E552DB7"/>
    <w:rsid w:val="7E5B1FC9"/>
    <w:rsid w:val="7E5F9F96"/>
    <w:rsid w:val="7E5FBA95"/>
    <w:rsid w:val="7E610A91"/>
    <w:rsid w:val="7E6F613A"/>
    <w:rsid w:val="7E7F6982"/>
    <w:rsid w:val="7E837D82"/>
    <w:rsid w:val="7EAF73EC"/>
    <w:rsid w:val="7EB01EFA"/>
    <w:rsid w:val="7EB21DE0"/>
    <w:rsid w:val="7EB62B76"/>
    <w:rsid w:val="7EBA6F1A"/>
    <w:rsid w:val="7EBE0C96"/>
    <w:rsid w:val="7EBF5888"/>
    <w:rsid w:val="7EBFC564"/>
    <w:rsid w:val="7EC465FC"/>
    <w:rsid w:val="7ED7552D"/>
    <w:rsid w:val="7EE3497E"/>
    <w:rsid w:val="7EEB1DE1"/>
    <w:rsid w:val="7EEBD868"/>
    <w:rsid w:val="7EEFB47D"/>
    <w:rsid w:val="7EF3FF94"/>
    <w:rsid w:val="7EF5974C"/>
    <w:rsid w:val="7EF70323"/>
    <w:rsid w:val="7EF7102E"/>
    <w:rsid w:val="7EF77BAB"/>
    <w:rsid w:val="7EFBA537"/>
    <w:rsid w:val="7EFD5D04"/>
    <w:rsid w:val="7F094E03"/>
    <w:rsid w:val="7F120DED"/>
    <w:rsid w:val="7F196938"/>
    <w:rsid w:val="7F2B04C0"/>
    <w:rsid w:val="7F2B4F1C"/>
    <w:rsid w:val="7F378231"/>
    <w:rsid w:val="7F3814E9"/>
    <w:rsid w:val="7F3BCABF"/>
    <w:rsid w:val="7F3C2523"/>
    <w:rsid w:val="7F3FB7F2"/>
    <w:rsid w:val="7F3FD8D9"/>
    <w:rsid w:val="7F4476B7"/>
    <w:rsid w:val="7F4A60F7"/>
    <w:rsid w:val="7F4E89EB"/>
    <w:rsid w:val="7F571267"/>
    <w:rsid w:val="7F5B26EF"/>
    <w:rsid w:val="7F5F444D"/>
    <w:rsid w:val="7F66FC8D"/>
    <w:rsid w:val="7F6DDD29"/>
    <w:rsid w:val="7F6EC9C6"/>
    <w:rsid w:val="7F736048"/>
    <w:rsid w:val="7F7662DB"/>
    <w:rsid w:val="7F79C282"/>
    <w:rsid w:val="7F7B6CAE"/>
    <w:rsid w:val="7F7B7A0F"/>
    <w:rsid w:val="7F7B7D2D"/>
    <w:rsid w:val="7F7D7798"/>
    <w:rsid w:val="7F7DF0C0"/>
    <w:rsid w:val="7F7E8588"/>
    <w:rsid w:val="7F7F4F32"/>
    <w:rsid w:val="7F9002A9"/>
    <w:rsid w:val="7F9F5917"/>
    <w:rsid w:val="7F9F5B51"/>
    <w:rsid w:val="7FA94346"/>
    <w:rsid w:val="7FAC1E41"/>
    <w:rsid w:val="7FAD1292"/>
    <w:rsid w:val="7FB49D09"/>
    <w:rsid w:val="7FB55DBA"/>
    <w:rsid w:val="7FB7612A"/>
    <w:rsid w:val="7FBB27FB"/>
    <w:rsid w:val="7FBB6B3E"/>
    <w:rsid w:val="7FBE7F6C"/>
    <w:rsid w:val="7FBF6DD0"/>
    <w:rsid w:val="7FBF6E76"/>
    <w:rsid w:val="7FBF763E"/>
    <w:rsid w:val="7FC6164E"/>
    <w:rsid w:val="7FCD17FE"/>
    <w:rsid w:val="7FCD1AC1"/>
    <w:rsid w:val="7FCFAB21"/>
    <w:rsid w:val="7FCFAC9D"/>
    <w:rsid w:val="7FD71EE4"/>
    <w:rsid w:val="7FD7E9A0"/>
    <w:rsid w:val="7FDA251B"/>
    <w:rsid w:val="7FDB706F"/>
    <w:rsid w:val="7FDBBCA2"/>
    <w:rsid w:val="7FDC6A1E"/>
    <w:rsid w:val="7FDDD1D1"/>
    <w:rsid w:val="7FDDE0A5"/>
    <w:rsid w:val="7FDF46BA"/>
    <w:rsid w:val="7FDFC015"/>
    <w:rsid w:val="7FDFD0E2"/>
    <w:rsid w:val="7FE5B7E6"/>
    <w:rsid w:val="7FE77536"/>
    <w:rsid w:val="7FE7ED7A"/>
    <w:rsid w:val="7FE7F345"/>
    <w:rsid w:val="7FE9FBB2"/>
    <w:rsid w:val="7FEB8B08"/>
    <w:rsid w:val="7FEE9BFE"/>
    <w:rsid w:val="7FEF5513"/>
    <w:rsid w:val="7FEFE5B1"/>
    <w:rsid w:val="7FF13E34"/>
    <w:rsid w:val="7FF1C106"/>
    <w:rsid w:val="7FF38A2E"/>
    <w:rsid w:val="7FF64053"/>
    <w:rsid w:val="7FF71A23"/>
    <w:rsid w:val="7FF75CC5"/>
    <w:rsid w:val="7FF7A65B"/>
    <w:rsid w:val="7FF7EC63"/>
    <w:rsid w:val="7FF8BC82"/>
    <w:rsid w:val="7FFA416D"/>
    <w:rsid w:val="7FFB18BE"/>
    <w:rsid w:val="7FFB2112"/>
    <w:rsid w:val="7FFB3FEB"/>
    <w:rsid w:val="7FFCE03A"/>
    <w:rsid w:val="7FFD2D10"/>
    <w:rsid w:val="7FFD63A3"/>
    <w:rsid w:val="7FFD6F6F"/>
    <w:rsid w:val="7FFE115B"/>
    <w:rsid w:val="7FFE6E1F"/>
    <w:rsid w:val="7FFEB7AF"/>
    <w:rsid w:val="7FFED5CA"/>
    <w:rsid w:val="7FFEEEF9"/>
    <w:rsid w:val="7FFEF8D3"/>
    <w:rsid w:val="7FFEFB2F"/>
    <w:rsid w:val="7FFF021D"/>
    <w:rsid w:val="7FFF02ED"/>
    <w:rsid w:val="7FFF1477"/>
    <w:rsid w:val="7FFF1A68"/>
    <w:rsid w:val="7FFF62B1"/>
    <w:rsid w:val="7FFF65D2"/>
    <w:rsid w:val="7FFF76AA"/>
    <w:rsid w:val="7FFF78DC"/>
    <w:rsid w:val="7FFF82E3"/>
    <w:rsid w:val="7FFF869E"/>
    <w:rsid w:val="7FFFB1DE"/>
    <w:rsid w:val="7FFFF5AB"/>
    <w:rsid w:val="8307105A"/>
    <w:rsid w:val="84AE6204"/>
    <w:rsid w:val="85E555A1"/>
    <w:rsid w:val="89BE1A46"/>
    <w:rsid w:val="8AF79D10"/>
    <w:rsid w:val="8D8F2D93"/>
    <w:rsid w:val="8DDF2B6B"/>
    <w:rsid w:val="8DFD4575"/>
    <w:rsid w:val="8EE4FC2C"/>
    <w:rsid w:val="8EEBDE32"/>
    <w:rsid w:val="8FAA4BA2"/>
    <w:rsid w:val="8FB1A5FC"/>
    <w:rsid w:val="8FFFA67E"/>
    <w:rsid w:val="91FF4DFB"/>
    <w:rsid w:val="92F0777F"/>
    <w:rsid w:val="92FCE4F9"/>
    <w:rsid w:val="93FF221D"/>
    <w:rsid w:val="97370AEC"/>
    <w:rsid w:val="976E9E60"/>
    <w:rsid w:val="977E0A53"/>
    <w:rsid w:val="979F94CE"/>
    <w:rsid w:val="9BABAE5B"/>
    <w:rsid w:val="9BBC9B52"/>
    <w:rsid w:val="9BCFA252"/>
    <w:rsid w:val="9BFF4A79"/>
    <w:rsid w:val="9D5E35E6"/>
    <w:rsid w:val="9D76B4E5"/>
    <w:rsid w:val="9DF304FE"/>
    <w:rsid w:val="9E7E79BF"/>
    <w:rsid w:val="9EEFA036"/>
    <w:rsid w:val="9EFD5B42"/>
    <w:rsid w:val="9F16DF7B"/>
    <w:rsid w:val="9F7D858F"/>
    <w:rsid w:val="9F7E4F82"/>
    <w:rsid w:val="9FA1C283"/>
    <w:rsid w:val="9FDD6945"/>
    <w:rsid w:val="9FF6A2C4"/>
    <w:rsid w:val="9FF8CD7C"/>
    <w:rsid w:val="9FFB90BA"/>
    <w:rsid w:val="9FFFA40D"/>
    <w:rsid w:val="A2EFF527"/>
    <w:rsid w:val="A46F7D75"/>
    <w:rsid w:val="A5FFB563"/>
    <w:rsid w:val="A6FF6566"/>
    <w:rsid w:val="A6FFD604"/>
    <w:rsid w:val="A7DDF34B"/>
    <w:rsid w:val="A7FEBB6D"/>
    <w:rsid w:val="A89B9117"/>
    <w:rsid w:val="A97F623E"/>
    <w:rsid w:val="A9FE5A00"/>
    <w:rsid w:val="AB76637D"/>
    <w:rsid w:val="AB7ECA18"/>
    <w:rsid w:val="AB7F6371"/>
    <w:rsid w:val="ABF7E86A"/>
    <w:rsid w:val="ABFF2240"/>
    <w:rsid w:val="AC74056E"/>
    <w:rsid w:val="ACF38B0F"/>
    <w:rsid w:val="ADAD89A5"/>
    <w:rsid w:val="ADD47A16"/>
    <w:rsid w:val="ADFB2AD7"/>
    <w:rsid w:val="AE67E366"/>
    <w:rsid w:val="AEDDC0A6"/>
    <w:rsid w:val="AEFF155F"/>
    <w:rsid w:val="AF0FDD8B"/>
    <w:rsid w:val="AF1B6D95"/>
    <w:rsid w:val="AF4F7D6B"/>
    <w:rsid w:val="AFB21854"/>
    <w:rsid w:val="AFBF8780"/>
    <w:rsid w:val="AFCF0E3B"/>
    <w:rsid w:val="AFEDE43F"/>
    <w:rsid w:val="AFEF302D"/>
    <w:rsid w:val="AFFD339B"/>
    <w:rsid w:val="AFFF8FD6"/>
    <w:rsid w:val="B06B1AEC"/>
    <w:rsid w:val="B17D6B53"/>
    <w:rsid w:val="B18C232E"/>
    <w:rsid w:val="B1FE4ED5"/>
    <w:rsid w:val="B2DEFEC6"/>
    <w:rsid w:val="B2EFEF41"/>
    <w:rsid w:val="B35F6156"/>
    <w:rsid w:val="B3F7D366"/>
    <w:rsid w:val="B41F550D"/>
    <w:rsid w:val="B4AFB69D"/>
    <w:rsid w:val="B53F4C96"/>
    <w:rsid w:val="B55F9C21"/>
    <w:rsid w:val="B57DEDD3"/>
    <w:rsid w:val="B5C89C49"/>
    <w:rsid w:val="B5EE123B"/>
    <w:rsid w:val="B5FF41D5"/>
    <w:rsid w:val="B6753F69"/>
    <w:rsid w:val="B6AFB0C8"/>
    <w:rsid w:val="B77CD5B0"/>
    <w:rsid w:val="B7AFE64D"/>
    <w:rsid w:val="B7BF7FB1"/>
    <w:rsid w:val="B7BFE480"/>
    <w:rsid w:val="B7D3A83B"/>
    <w:rsid w:val="B7FF5C1D"/>
    <w:rsid w:val="B7FFDB49"/>
    <w:rsid w:val="B8F73CF8"/>
    <w:rsid w:val="B8FFE3F7"/>
    <w:rsid w:val="B9D0F81B"/>
    <w:rsid w:val="B9D5E7A2"/>
    <w:rsid w:val="BA7DFACE"/>
    <w:rsid w:val="BAA60C83"/>
    <w:rsid w:val="BAC4C3EB"/>
    <w:rsid w:val="BB7DCEC7"/>
    <w:rsid w:val="BB9F9185"/>
    <w:rsid w:val="BBAE3147"/>
    <w:rsid w:val="BBD3352E"/>
    <w:rsid w:val="BBE7BE01"/>
    <w:rsid w:val="BD46EC1B"/>
    <w:rsid w:val="BD77E711"/>
    <w:rsid w:val="BD7DCF70"/>
    <w:rsid w:val="BDB256C7"/>
    <w:rsid w:val="BDCFB977"/>
    <w:rsid w:val="BDD7B43D"/>
    <w:rsid w:val="BDD9AE97"/>
    <w:rsid w:val="BDDF7E3F"/>
    <w:rsid w:val="BDDFC286"/>
    <w:rsid w:val="BDE10C82"/>
    <w:rsid w:val="BDFB9A7A"/>
    <w:rsid w:val="BDFBCBB3"/>
    <w:rsid w:val="BDFF1C94"/>
    <w:rsid w:val="BE9D2187"/>
    <w:rsid w:val="BEBF13E0"/>
    <w:rsid w:val="BEDFC224"/>
    <w:rsid w:val="BEEE0DA0"/>
    <w:rsid w:val="BEEFCB4B"/>
    <w:rsid w:val="BEFF5FBC"/>
    <w:rsid w:val="BEFFE0C1"/>
    <w:rsid w:val="BF1449C6"/>
    <w:rsid w:val="BF389E2E"/>
    <w:rsid w:val="BF3D478D"/>
    <w:rsid w:val="BF3EF69B"/>
    <w:rsid w:val="BF5FB051"/>
    <w:rsid w:val="BF6B7163"/>
    <w:rsid w:val="BF6BC8E2"/>
    <w:rsid w:val="BF7B51D0"/>
    <w:rsid w:val="BF7F2733"/>
    <w:rsid w:val="BF7F3107"/>
    <w:rsid w:val="BFA5C2A6"/>
    <w:rsid w:val="BFA5D12F"/>
    <w:rsid w:val="BFAD8054"/>
    <w:rsid w:val="BFAF6780"/>
    <w:rsid w:val="BFB702E7"/>
    <w:rsid w:val="BFB79A71"/>
    <w:rsid w:val="BFBB55B7"/>
    <w:rsid w:val="BFBEF0F1"/>
    <w:rsid w:val="BFBF992A"/>
    <w:rsid w:val="BFCFEB4F"/>
    <w:rsid w:val="BFDB669A"/>
    <w:rsid w:val="BFE6F841"/>
    <w:rsid w:val="BFE73F34"/>
    <w:rsid w:val="BFEF61B8"/>
    <w:rsid w:val="BFF6D55B"/>
    <w:rsid w:val="BFF7B210"/>
    <w:rsid w:val="BFFBFC8F"/>
    <w:rsid w:val="BFFD299A"/>
    <w:rsid w:val="BFFDC1F9"/>
    <w:rsid w:val="BFFDC7DC"/>
    <w:rsid w:val="BFFDEF1A"/>
    <w:rsid w:val="BFFF0F05"/>
    <w:rsid w:val="BFFF5F48"/>
    <w:rsid w:val="BFFFDD13"/>
    <w:rsid w:val="BFFFFE09"/>
    <w:rsid w:val="C3B7217E"/>
    <w:rsid w:val="C42F5AD5"/>
    <w:rsid w:val="C5AEF477"/>
    <w:rsid w:val="C65FEE7A"/>
    <w:rsid w:val="C767CFE0"/>
    <w:rsid w:val="C77FD281"/>
    <w:rsid w:val="C7BD48D7"/>
    <w:rsid w:val="C7F7E16B"/>
    <w:rsid w:val="C87F8696"/>
    <w:rsid w:val="C9FFC7AA"/>
    <w:rsid w:val="CAFFD847"/>
    <w:rsid w:val="CBDF8709"/>
    <w:rsid w:val="CBE77271"/>
    <w:rsid w:val="CCFFA63A"/>
    <w:rsid w:val="CCFFECC3"/>
    <w:rsid w:val="CDBBC481"/>
    <w:rsid w:val="CDF2938D"/>
    <w:rsid w:val="CE3BD25E"/>
    <w:rsid w:val="CE4F6272"/>
    <w:rsid w:val="CEFD6A2E"/>
    <w:rsid w:val="CF6EC00B"/>
    <w:rsid w:val="CF796E44"/>
    <w:rsid w:val="CF7BA826"/>
    <w:rsid w:val="CF7BC8E3"/>
    <w:rsid w:val="CF9F65C7"/>
    <w:rsid w:val="CFBEC659"/>
    <w:rsid w:val="CFDF58B3"/>
    <w:rsid w:val="CFEC7262"/>
    <w:rsid w:val="CFF717E1"/>
    <w:rsid w:val="CFF9BEF6"/>
    <w:rsid w:val="CFFEEDC7"/>
    <w:rsid w:val="CFFF982D"/>
    <w:rsid w:val="D1FAE4BC"/>
    <w:rsid w:val="D1FD7A6C"/>
    <w:rsid w:val="D29B673F"/>
    <w:rsid w:val="D2DF35AD"/>
    <w:rsid w:val="D3E500B6"/>
    <w:rsid w:val="D3EDF4F3"/>
    <w:rsid w:val="D4F64E3D"/>
    <w:rsid w:val="D4FEDA3A"/>
    <w:rsid w:val="D57BC952"/>
    <w:rsid w:val="D57BF6F4"/>
    <w:rsid w:val="D58FB316"/>
    <w:rsid w:val="D5BBAE96"/>
    <w:rsid w:val="D5DE8897"/>
    <w:rsid w:val="D5E7A04F"/>
    <w:rsid w:val="D65E1C25"/>
    <w:rsid w:val="D676A578"/>
    <w:rsid w:val="D6DE2190"/>
    <w:rsid w:val="D6DF8C8B"/>
    <w:rsid w:val="D7356C85"/>
    <w:rsid w:val="D75BD063"/>
    <w:rsid w:val="D769E491"/>
    <w:rsid w:val="D7758766"/>
    <w:rsid w:val="D7BC4244"/>
    <w:rsid w:val="D7D75747"/>
    <w:rsid w:val="D7E716FB"/>
    <w:rsid w:val="D7E795FE"/>
    <w:rsid w:val="D7FE50CA"/>
    <w:rsid w:val="D7FF8FB2"/>
    <w:rsid w:val="D7FFBC0A"/>
    <w:rsid w:val="D93C6981"/>
    <w:rsid w:val="D95ED506"/>
    <w:rsid w:val="D9777C88"/>
    <w:rsid w:val="D9EAD176"/>
    <w:rsid w:val="DAEFF803"/>
    <w:rsid w:val="DAF75F10"/>
    <w:rsid w:val="DB373974"/>
    <w:rsid w:val="DB5F635A"/>
    <w:rsid w:val="DB6F9F99"/>
    <w:rsid w:val="DB7FE17E"/>
    <w:rsid w:val="DBAF3E20"/>
    <w:rsid w:val="DBBBABDC"/>
    <w:rsid w:val="DBE05ABB"/>
    <w:rsid w:val="DBF730F6"/>
    <w:rsid w:val="DBFC4614"/>
    <w:rsid w:val="DBFFE543"/>
    <w:rsid w:val="DC745D82"/>
    <w:rsid w:val="DC7BA333"/>
    <w:rsid w:val="DC7F78F1"/>
    <w:rsid w:val="DCD6ABD9"/>
    <w:rsid w:val="DCF3D028"/>
    <w:rsid w:val="DCFB65C4"/>
    <w:rsid w:val="DCFD0E4B"/>
    <w:rsid w:val="DCFDBAF9"/>
    <w:rsid w:val="DCFFF3FC"/>
    <w:rsid w:val="DD3F3C47"/>
    <w:rsid w:val="DD4737E3"/>
    <w:rsid w:val="DD51DCE1"/>
    <w:rsid w:val="DD7C5D3F"/>
    <w:rsid w:val="DD7EE2A6"/>
    <w:rsid w:val="DDB70DF0"/>
    <w:rsid w:val="DDB769A3"/>
    <w:rsid w:val="DDDEA265"/>
    <w:rsid w:val="DDFF5E09"/>
    <w:rsid w:val="DE7E1BD9"/>
    <w:rsid w:val="DEAC4CFE"/>
    <w:rsid w:val="DEAD52CA"/>
    <w:rsid w:val="DEBD77B4"/>
    <w:rsid w:val="DEEE38D1"/>
    <w:rsid w:val="DEEF4938"/>
    <w:rsid w:val="DEEF8E8B"/>
    <w:rsid w:val="DEF6DD16"/>
    <w:rsid w:val="DEFBA998"/>
    <w:rsid w:val="DEFBF35D"/>
    <w:rsid w:val="DEFFBA68"/>
    <w:rsid w:val="DF1F3672"/>
    <w:rsid w:val="DF3F0CA3"/>
    <w:rsid w:val="DF47A12C"/>
    <w:rsid w:val="DF5FFB32"/>
    <w:rsid w:val="DF672674"/>
    <w:rsid w:val="DF6F24C5"/>
    <w:rsid w:val="DF7F2C6F"/>
    <w:rsid w:val="DF7F5065"/>
    <w:rsid w:val="DF968984"/>
    <w:rsid w:val="DF9E780D"/>
    <w:rsid w:val="DFA6E447"/>
    <w:rsid w:val="DFAB1E84"/>
    <w:rsid w:val="DFAF681B"/>
    <w:rsid w:val="DFB723E7"/>
    <w:rsid w:val="DFBFC0E6"/>
    <w:rsid w:val="DFCF9C5B"/>
    <w:rsid w:val="DFD3C6E5"/>
    <w:rsid w:val="DFDF5F97"/>
    <w:rsid w:val="DFE6DA77"/>
    <w:rsid w:val="DFE70C68"/>
    <w:rsid w:val="DFE765FB"/>
    <w:rsid w:val="DFEB4982"/>
    <w:rsid w:val="DFF360F6"/>
    <w:rsid w:val="DFF37C68"/>
    <w:rsid w:val="DFF4CC59"/>
    <w:rsid w:val="DFF71364"/>
    <w:rsid w:val="DFF73D00"/>
    <w:rsid w:val="DFFAE9AC"/>
    <w:rsid w:val="DFFB4519"/>
    <w:rsid w:val="DFFEBFF1"/>
    <w:rsid w:val="DFFEF263"/>
    <w:rsid w:val="DFFF796D"/>
    <w:rsid w:val="DFFFA1F0"/>
    <w:rsid w:val="E1BF3281"/>
    <w:rsid w:val="E2F69BA3"/>
    <w:rsid w:val="E373ACB4"/>
    <w:rsid w:val="E3BD4E6C"/>
    <w:rsid w:val="E3FE731E"/>
    <w:rsid w:val="E4B681FF"/>
    <w:rsid w:val="E4FEFD08"/>
    <w:rsid w:val="E4FFA7E9"/>
    <w:rsid w:val="E56FE68A"/>
    <w:rsid w:val="E5BBB4BD"/>
    <w:rsid w:val="E6BC6C89"/>
    <w:rsid w:val="E6FD465C"/>
    <w:rsid w:val="E777F1FE"/>
    <w:rsid w:val="E79FC16B"/>
    <w:rsid w:val="E7E60804"/>
    <w:rsid w:val="E7F46EA4"/>
    <w:rsid w:val="E7F4AE8E"/>
    <w:rsid w:val="E7FE3684"/>
    <w:rsid w:val="E7FF9AC3"/>
    <w:rsid w:val="E7FF9B4A"/>
    <w:rsid w:val="E8FFB558"/>
    <w:rsid w:val="E9F5EDC6"/>
    <w:rsid w:val="EAF54EA5"/>
    <w:rsid w:val="EAFE1036"/>
    <w:rsid w:val="EB3B157F"/>
    <w:rsid w:val="EB6F94C7"/>
    <w:rsid w:val="EB75A0DB"/>
    <w:rsid w:val="EB8B950B"/>
    <w:rsid w:val="EB8F918C"/>
    <w:rsid w:val="EB9E5E6C"/>
    <w:rsid w:val="EBB721A1"/>
    <w:rsid w:val="EBBF22EA"/>
    <w:rsid w:val="EBEDC091"/>
    <w:rsid w:val="EBF78E4D"/>
    <w:rsid w:val="EBFB21D1"/>
    <w:rsid w:val="EBFDA152"/>
    <w:rsid w:val="EBFDBA7F"/>
    <w:rsid w:val="EC427ACF"/>
    <w:rsid w:val="ECB9EA4D"/>
    <w:rsid w:val="ECFEAF24"/>
    <w:rsid w:val="ECFF7AEE"/>
    <w:rsid w:val="ED3FF915"/>
    <w:rsid w:val="EDEC0089"/>
    <w:rsid w:val="EDF696BB"/>
    <w:rsid w:val="EDFBFED2"/>
    <w:rsid w:val="EDFE68D7"/>
    <w:rsid w:val="EDFF4984"/>
    <w:rsid w:val="EDFFF4BD"/>
    <w:rsid w:val="EE57FB12"/>
    <w:rsid w:val="EE791420"/>
    <w:rsid w:val="EE797481"/>
    <w:rsid w:val="EE7BD883"/>
    <w:rsid w:val="EE7D1C42"/>
    <w:rsid w:val="EE7F0E52"/>
    <w:rsid w:val="EEAF5ED3"/>
    <w:rsid w:val="EEB777EF"/>
    <w:rsid w:val="EEB7D649"/>
    <w:rsid w:val="EEDD51B9"/>
    <w:rsid w:val="EEDF6590"/>
    <w:rsid w:val="EEEF15A9"/>
    <w:rsid w:val="EEF75A92"/>
    <w:rsid w:val="EEFF44F6"/>
    <w:rsid w:val="EEFFF8EC"/>
    <w:rsid w:val="EF17E8FB"/>
    <w:rsid w:val="EF33EE74"/>
    <w:rsid w:val="EF5E01C7"/>
    <w:rsid w:val="EF6F7DFF"/>
    <w:rsid w:val="EF7F8A09"/>
    <w:rsid w:val="EF7FF622"/>
    <w:rsid w:val="EF8772A4"/>
    <w:rsid w:val="EFB7B262"/>
    <w:rsid w:val="EFBF654A"/>
    <w:rsid w:val="EFC25DF5"/>
    <w:rsid w:val="EFC66527"/>
    <w:rsid w:val="EFCF23D5"/>
    <w:rsid w:val="EFD43322"/>
    <w:rsid w:val="EFDA8566"/>
    <w:rsid w:val="EFDF61B7"/>
    <w:rsid w:val="EFE60B3C"/>
    <w:rsid w:val="EFEA2F79"/>
    <w:rsid w:val="EFEE0940"/>
    <w:rsid w:val="EFEFFEC8"/>
    <w:rsid w:val="EFF9B5C0"/>
    <w:rsid w:val="EFFB47CD"/>
    <w:rsid w:val="EFFBC17B"/>
    <w:rsid w:val="EFFC8775"/>
    <w:rsid w:val="EFFD5DFB"/>
    <w:rsid w:val="EFFF495E"/>
    <w:rsid w:val="EFFF67DF"/>
    <w:rsid w:val="EFFF70E4"/>
    <w:rsid w:val="EFFFE467"/>
    <w:rsid w:val="F069CBA2"/>
    <w:rsid w:val="F0E74468"/>
    <w:rsid w:val="F11F1F1A"/>
    <w:rsid w:val="F17913C3"/>
    <w:rsid w:val="F1F5C849"/>
    <w:rsid w:val="F1FAA5B2"/>
    <w:rsid w:val="F1FFB367"/>
    <w:rsid w:val="F1FFFD29"/>
    <w:rsid w:val="F27E6A30"/>
    <w:rsid w:val="F2CECD37"/>
    <w:rsid w:val="F2CF0D84"/>
    <w:rsid w:val="F2E7B6AB"/>
    <w:rsid w:val="F2FE1BD4"/>
    <w:rsid w:val="F3BA1995"/>
    <w:rsid w:val="F3CDE7D2"/>
    <w:rsid w:val="F3DFA3DD"/>
    <w:rsid w:val="F3EE61A7"/>
    <w:rsid w:val="F3F6FDE9"/>
    <w:rsid w:val="F3F89A90"/>
    <w:rsid w:val="F48EE570"/>
    <w:rsid w:val="F4F31F0F"/>
    <w:rsid w:val="F4FF5D44"/>
    <w:rsid w:val="F50ADF92"/>
    <w:rsid w:val="F5384B7C"/>
    <w:rsid w:val="F55ED591"/>
    <w:rsid w:val="F58FB700"/>
    <w:rsid w:val="F5AEF6F2"/>
    <w:rsid w:val="F5D4A574"/>
    <w:rsid w:val="F5F978E8"/>
    <w:rsid w:val="F5FFB004"/>
    <w:rsid w:val="F698D006"/>
    <w:rsid w:val="F6AF65F5"/>
    <w:rsid w:val="F6BECD28"/>
    <w:rsid w:val="F6EF1652"/>
    <w:rsid w:val="F6EF2C9A"/>
    <w:rsid w:val="F6F525AD"/>
    <w:rsid w:val="F6F5C01C"/>
    <w:rsid w:val="F6FB645E"/>
    <w:rsid w:val="F75C44DA"/>
    <w:rsid w:val="F76E2E59"/>
    <w:rsid w:val="F7AB2482"/>
    <w:rsid w:val="F7AEF390"/>
    <w:rsid w:val="F7AF34F2"/>
    <w:rsid w:val="F7B72C68"/>
    <w:rsid w:val="F7BF0AF0"/>
    <w:rsid w:val="F7CB0A74"/>
    <w:rsid w:val="F7D7FB65"/>
    <w:rsid w:val="F7DBC46B"/>
    <w:rsid w:val="F7DE2A7D"/>
    <w:rsid w:val="F7DF9220"/>
    <w:rsid w:val="F7E31639"/>
    <w:rsid w:val="F7E9A052"/>
    <w:rsid w:val="F7EEC240"/>
    <w:rsid w:val="F7F7AD98"/>
    <w:rsid w:val="F7F7B131"/>
    <w:rsid w:val="F7FB75AF"/>
    <w:rsid w:val="F7FBA99D"/>
    <w:rsid w:val="F7FD4CAA"/>
    <w:rsid w:val="F7FDD4CF"/>
    <w:rsid w:val="F7FF0654"/>
    <w:rsid w:val="F7FF6831"/>
    <w:rsid w:val="F7FF7D9E"/>
    <w:rsid w:val="F7FFCB46"/>
    <w:rsid w:val="F8FAEABF"/>
    <w:rsid w:val="F8FB3634"/>
    <w:rsid w:val="F937FC3F"/>
    <w:rsid w:val="F93C09DC"/>
    <w:rsid w:val="F9D88A5D"/>
    <w:rsid w:val="F9EEB23C"/>
    <w:rsid w:val="F9F90E96"/>
    <w:rsid w:val="F9FAF831"/>
    <w:rsid w:val="F9FC1489"/>
    <w:rsid w:val="F9FF2C83"/>
    <w:rsid w:val="F9FFA93D"/>
    <w:rsid w:val="FA4FBE28"/>
    <w:rsid w:val="FA553DB6"/>
    <w:rsid w:val="FA7A0ABE"/>
    <w:rsid w:val="FA7A0FEE"/>
    <w:rsid w:val="FA7E5993"/>
    <w:rsid w:val="FA7F4EAA"/>
    <w:rsid w:val="FA7FAED9"/>
    <w:rsid w:val="FAAB540A"/>
    <w:rsid w:val="FADF5366"/>
    <w:rsid w:val="FAE569C8"/>
    <w:rsid w:val="FAE76B80"/>
    <w:rsid w:val="FAEE4F3D"/>
    <w:rsid w:val="FAEEDC55"/>
    <w:rsid w:val="FAEEF220"/>
    <w:rsid w:val="FAF4767B"/>
    <w:rsid w:val="FAF51F67"/>
    <w:rsid w:val="FAFF3810"/>
    <w:rsid w:val="FB2DB5EA"/>
    <w:rsid w:val="FB368A01"/>
    <w:rsid w:val="FB3F811B"/>
    <w:rsid w:val="FB5D5E32"/>
    <w:rsid w:val="FB7F4762"/>
    <w:rsid w:val="FB7F4A4A"/>
    <w:rsid w:val="FB9C3591"/>
    <w:rsid w:val="FBA6D904"/>
    <w:rsid w:val="FBB76BD9"/>
    <w:rsid w:val="FBBD5D79"/>
    <w:rsid w:val="FBBEE47A"/>
    <w:rsid w:val="FBBF9368"/>
    <w:rsid w:val="FBBFF831"/>
    <w:rsid w:val="FBD61967"/>
    <w:rsid w:val="FBD62B8E"/>
    <w:rsid w:val="FBD74453"/>
    <w:rsid w:val="FBDEC1D8"/>
    <w:rsid w:val="FBE9388A"/>
    <w:rsid w:val="FBEDA0EA"/>
    <w:rsid w:val="FBEDDBAE"/>
    <w:rsid w:val="FBF75102"/>
    <w:rsid w:val="FBFD3586"/>
    <w:rsid w:val="FBFF1206"/>
    <w:rsid w:val="FBFF544E"/>
    <w:rsid w:val="FBFFF4FA"/>
    <w:rsid w:val="FC7FC40C"/>
    <w:rsid w:val="FC9D23AB"/>
    <w:rsid w:val="FCC3526E"/>
    <w:rsid w:val="FCD7946B"/>
    <w:rsid w:val="FCDD90EC"/>
    <w:rsid w:val="FCDF2CCA"/>
    <w:rsid w:val="FCE9368E"/>
    <w:rsid w:val="FCEF9AB1"/>
    <w:rsid w:val="FCFD9875"/>
    <w:rsid w:val="FCFDAA5B"/>
    <w:rsid w:val="FCFDC991"/>
    <w:rsid w:val="FCFDF035"/>
    <w:rsid w:val="FCFE5044"/>
    <w:rsid w:val="FCFFA5C2"/>
    <w:rsid w:val="FD07DD0F"/>
    <w:rsid w:val="FD7B2130"/>
    <w:rsid w:val="FD7B4ACD"/>
    <w:rsid w:val="FD7F9B27"/>
    <w:rsid w:val="FD8E2BFB"/>
    <w:rsid w:val="FD96EAA2"/>
    <w:rsid w:val="FD9EC05C"/>
    <w:rsid w:val="FD9FEFA3"/>
    <w:rsid w:val="FDAD39E3"/>
    <w:rsid w:val="FDBB68AE"/>
    <w:rsid w:val="FDBDA65E"/>
    <w:rsid w:val="FDBF1C41"/>
    <w:rsid w:val="FDBFBFFF"/>
    <w:rsid w:val="FDDC5620"/>
    <w:rsid w:val="FDDF606C"/>
    <w:rsid w:val="FDDF622D"/>
    <w:rsid w:val="FDDFE326"/>
    <w:rsid w:val="FDE7CB42"/>
    <w:rsid w:val="FDEA4EE0"/>
    <w:rsid w:val="FDEA700A"/>
    <w:rsid w:val="FDED152F"/>
    <w:rsid w:val="FDEF45F8"/>
    <w:rsid w:val="FDEF5BCF"/>
    <w:rsid w:val="FDF3C14A"/>
    <w:rsid w:val="FDF58847"/>
    <w:rsid w:val="FDF66194"/>
    <w:rsid w:val="FDF7BDBE"/>
    <w:rsid w:val="FDF7C0D5"/>
    <w:rsid w:val="FDF95B71"/>
    <w:rsid w:val="FDF96EB8"/>
    <w:rsid w:val="FDFAC40C"/>
    <w:rsid w:val="FDFB35E3"/>
    <w:rsid w:val="FDFB9B63"/>
    <w:rsid w:val="FDFCC4EA"/>
    <w:rsid w:val="FDFD1BF0"/>
    <w:rsid w:val="FDFDD45B"/>
    <w:rsid w:val="FDFEAF5E"/>
    <w:rsid w:val="FDFEE9A6"/>
    <w:rsid w:val="FDFEF635"/>
    <w:rsid w:val="FDFF28B9"/>
    <w:rsid w:val="FDFF9EB1"/>
    <w:rsid w:val="FDFFE3B5"/>
    <w:rsid w:val="FE5E3C67"/>
    <w:rsid w:val="FE72EE5A"/>
    <w:rsid w:val="FE771950"/>
    <w:rsid w:val="FE7BB972"/>
    <w:rsid w:val="FE7F484A"/>
    <w:rsid w:val="FE7FC3B6"/>
    <w:rsid w:val="FE8F6861"/>
    <w:rsid w:val="FE9DBB1F"/>
    <w:rsid w:val="FE9FA6BF"/>
    <w:rsid w:val="FEAA41CB"/>
    <w:rsid w:val="FEAF9E8D"/>
    <w:rsid w:val="FEBFAAEA"/>
    <w:rsid w:val="FECD7AF7"/>
    <w:rsid w:val="FECE2819"/>
    <w:rsid w:val="FECFCB88"/>
    <w:rsid w:val="FED775FC"/>
    <w:rsid w:val="FEDE87BE"/>
    <w:rsid w:val="FEDFB3CD"/>
    <w:rsid w:val="FEED030B"/>
    <w:rsid w:val="FEEF39E8"/>
    <w:rsid w:val="FEF216E2"/>
    <w:rsid w:val="FEF3010E"/>
    <w:rsid w:val="FEF6746F"/>
    <w:rsid w:val="FEFAD37F"/>
    <w:rsid w:val="FEFC2303"/>
    <w:rsid w:val="FEFD49BC"/>
    <w:rsid w:val="FEFFA84F"/>
    <w:rsid w:val="FF2D5CEF"/>
    <w:rsid w:val="FF361E96"/>
    <w:rsid w:val="FF3F220D"/>
    <w:rsid w:val="FF3F5C86"/>
    <w:rsid w:val="FF3FDE17"/>
    <w:rsid w:val="FF4E3ACA"/>
    <w:rsid w:val="FF4EEABD"/>
    <w:rsid w:val="FF5FBF48"/>
    <w:rsid w:val="FF67DB8E"/>
    <w:rsid w:val="FF6F6343"/>
    <w:rsid w:val="FF7188A7"/>
    <w:rsid w:val="FF77B4C1"/>
    <w:rsid w:val="FF7B04E7"/>
    <w:rsid w:val="FF7B96D3"/>
    <w:rsid w:val="FF7C5933"/>
    <w:rsid w:val="FF7E6927"/>
    <w:rsid w:val="FF7EA418"/>
    <w:rsid w:val="FF7EC472"/>
    <w:rsid w:val="FF7EEF71"/>
    <w:rsid w:val="FF949614"/>
    <w:rsid w:val="FF9DCB0D"/>
    <w:rsid w:val="FF9FF41E"/>
    <w:rsid w:val="FF9FFC52"/>
    <w:rsid w:val="FFA44204"/>
    <w:rsid w:val="FFA76FD7"/>
    <w:rsid w:val="FFA7DB6B"/>
    <w:rsid w:val="FFAB7CFA"/>
    <w:rsid w:val="FFB5108C"/>
    <w:rsid w:val="FFB775A8"/>
    <w:rsid w:val="FFB978D4"/>
    <w:rsid w:val="FFBA09B0"/>
    <w:rsid w:val="FFBABD66"/>
    <w:rsid w:val="FFBDF17E"/>
    <w:rsid w:val="FFBEAFC7"/>
    <w:rsid w:val="FFBED655"/>
    <w:rsid w:val="FFBF3990"/>
    <w:rsid w:val="FFBF6F85"/>
    <w:rsid w:val="FFBF717B"/>
    <w:rsid w:val="FFBF9D7F"/>
    <w:rsid w:val="FFBFB4D2"/>
    <w:rsid w:val="FFBFCE42"/>
    <w:rsid w:val="FFBFD93C"/>
    <w:rsid w:val="FFCB9588"/>
    <w:rsid w:val="FFCDA780"/>
    <w:rsid w:val="FFD1F655"/>
    <w:rsid w:val="FFD68D04"/>
    <w:rsid w:val="FFD7A8EB"/>
    <w:rsid w:val="FFD99B65"/>
    <w:rsid w:val="FFDEB11C"/>
    <w:rsid w:val="FFDEE42C"/>
    <w:rsid w:val="FFDF0EFF"/>
    <w:rsid w:val="FFDF64F0"/>
    <w:rsid w:val="FFE77FB8"/>
    <w:rsid w:val="FFEB1B78"/>
    <w:rsid w:val="FFEB2E91"/>
    <w:rsid w:val="FFEB3CD1"/>
    <w:rsid w:val="FFEDB635"/>
    <w:rsid w:val="FFEDC46B"/>
    <w:rsid w:val="FFEEE9F9"/>
    <w:rsid w:val="FFEF31CD"/>
    <w:rsid w:val="FFEF5042"/>
    <w:rsid w:val="FFEF5082"/>
    <w:rsid w:val="FFEF9319"/>
    <w:rsid w:val="FFEFD6BD"/>
    <w:rsid w:val="FFF53873"/>
    <w:rsid w:val="FFF554AC"/>
    <w:rsid w:val="FFF57D36"/>
    <w:rsid w:val="FFF57DED"/>
    <w:rsid w:val="FFF63A40"/>
    <w:rsid w:val="FFF70D16"/>
    <w:rsid w:val="FFF7297C"/>
    <w:rsid w:val="FFF7BA44"/>
    <w:rsid w:val="FFF7C6CE"/>
    <w:rsid w:val="FFF9E3D4"/>
    <w:rsid w:val="FFFB01C8"/>
    <w:rsid w:val="FFFC93D4"/>
    <w:rsid w:val="FFFE100C"/>
    <w:rsid w:val="FFFE3D91"/>
    <w:rsid w:val="FFFF20FD"/>
    <w:rsid w:val="FFFF52C6"/>
    <w:rsid w:val="FFFF91F2"/>
    <w:rsid w:val="FFFF96CA"/>
    <w:rsid w:val="FFFFB0C7"/>
    <w:rsid w:val="FFFFBFF2"/>
    <w:rsid w:val="FFFFC0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60" w:after="220"/>
      <w:ind w:firstLine="0" w:firstLineChars="0"/>
      <w:jc w:val="center"/>
      <w:outlineLvl w:val="0"/>
    </w:pPr>
    <w:rPr>
      <w:kern w:val="44"/>
      <w:sz w:val="28"/>
    </w:rPr>
  </w:style>
  <w:style w:type="paragraph" w:styleId="3">
    <w:name w:val="heading 2"/>
    <w:basedOn w:val="1"/>
    <w:next w:val="1"/>
    <w:unhideWhenUsed/>
    <w:qFormat/>
    <w:uiPriority w:val="0"/>
    <w:pPr>
      <w:keepNext/>
      <w:keepLines/>
      <w:spacing w:before="260" w:after="200"/>
      <w:outlineLvl w:val="1"/>
    </w:pPr>
    <w:rPr>
      <w:rFonts w:ascii="Arial" w:hAnsi="Arial"/>
      <w:b/>
      <w:sz w:val="32"/>
    </w:rPr>
  </w:style>
  <w:style w:type="paragraph" w:styleId="4">
    <w:name w:val="heading 3"/>
    <w:basedOn w:val="1"/>
    <w:next w:val="1"/>
    <w:unhideWhenUsed/>
    <w:qFormat/>
    <w:uiPriority w:val="0"/>
    <w:pPr>
      <w:keepNext/>
      <w:keepLines/>
      <w:ind w:firstLine="200"/>
      <w:outlineLvl w:val="2"/>
    </w:pPr>
  </w:style>
  <w:style w:type="paragraph" w:styleId="5">
    <w:name w:val="heading 4"/>
    <w:basedOn w:val="1"/>
    <w:next w:val="1"/>
    <w:unhideWhenUsed/>
    <w:qFormat/>
    <w:uiPriority w:val="0"/>
    <w:pPr>
      <w:keepNext/>
      <w:keepLines/>
      <w:spacing w:before="240" w:after="160"/>
      <w:jc w:val="center"/>
      <w:outlineLvl w:val="3"/>
    </w:pPr>
    <w:rPr>
      <w:rFonts w:eastAsia="黑体"/>
      <w:sz w:val="18"/>
    </w:rPr>
  </w:style>
  <w:style w:type="paragraph" w:styleId="6">
    <w:name w:val="heading 5"/>
    <w:basedOn w:val="1"/>
    <w:next w:val="1"/>
    <w:unhideWhenUsed/>
    <w:qFormat/>
    <w:uiPriority w:val="0"/>
    <w:pPr>
      <w:keepNext/>
      <w:keepLines/>
      <w:spacing w:before="240" w:after="160"/>
      <w:outlineLvl w:val="4"/>
    </w:pPr>
    <w:rPr>
      <w:rFonts w:ascii="Arial" w:hAnsi="Arial"/>
      <w:b/>
      <w:sz w:val="28"/>
    </w:rPr>
  </w:style>
  <w:style w:type="paragraph" w:styleId="7">
    <w:name w:val="heading 6"/>
    <w:basedOn w:val="1"/>
    <w:next w:val="1"/>
    <w:unhideWhenUsed/>
    <w:qFormat/>
    <w:uiPriority w:val="0"/>
    <w:pPr>
      <w:keepNext/>
      <w:keepLines/>
      <w:spacing w:before="240" w:after="120"/>
      <w:outlineLvl w:val="5"/>
    </w:pPr>
    <w:rPr>
      <w:rFonts w:ascii="Arial" w:hAnsi="Arial"/>
      <w:b/>
      <w:sz w:val="24"/>
    </w:rPr>
  </w:style>
  <w:style w:type="paragraph" w:styleId="8">
    <w:name w:val="heading 7"/>
    <w:basedOn w:val="1"/>
    <w:next w:val="1"/>
    <w:unhideWhenUsed/>
    <w:qFormat/>
    <w:uiPriority w:val="0"/>
    <w:pPr>
      <w:keepNext/>
      <w:keepLines/>
      <w:spacing w:before="240" w:after="120"/>
      <w:outlineLvl w:val="6"/>
    </w:pPr>
    <w:rPr>
      <w:rFonts w:ascii="Arial" w:hAnsi="Arial"/>
      <w:b/>
      <w:sz w:val="24"/>
    </w:rPr>
  </w:style>
  <w:style w:type="paragraph" w:styleId="9">
    <w:name w:val="heading 8"/>
    <w:basedOn w:val="1"/>
    <w:next w:val="1"/>
    <w:unhideWhenUsed/>
    <w:qFormat/>
    <w:uiPriority w:val="0"/>
    <w:pPr>
      <w:keepNext/>
      <w:keepLines/>
      <w:spacing w:before="180" w:after="64"/>
      <w:outlineLvl w:val="7"/>
    </w:pPr>
    <w:rPr>
      <w:rFonts w:ascii="Arial" w:hAnsi="Arial"/>
      <w:sz w:val="24"/>
    </w:rPr>
  </w:style>
  <w:style w:type="paragraph" w:styleId="10">
    <w:name w:val="heading 9"/>
    <w:basedOn w:val="1"/>
    <w:next w:val="1"/>
    <w:unhideWhenUsed/>
    <w:qFormat/>
    <w:uiPriority w:val="0"/>
    <w:pPr>
      <w:keepNext/>
      <w:keepLines/>
      <w:spacing w:before="180" w:after="64"/>
      <w:jc w:val="left"/>
      <w:outlineLvl w:val="8"/>
    </w:pPr>
    <w:rPr>
      <w:sz w:val="1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9"/>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42"/>
    <w:qFormat/>
    <w:uiPriority w:val="0"/>
    <w:pPr>
      <w:spacing w:before="240" w:after="60" w:line="312" w:lineRule="auto"/>
      <w:jc w:val="left"/>
      <w:outlineLvl w:val="1"/>
    </w:pPr>
    <w:rPr>
      <w:rFonts w:cstheme="minorBidi"/>
      <w:bCs/>
      <w:kern w:val="28"/>
      <w:sz w:val="18"/>
      <w:szCs w:val="32"/>
    </w:rPr>
  </w:style>
  <w:style w:type="paragraph" w:styleId="15">
    <w:name w:val="footnote text"/>
    <w:basedOn w:val="1"/>
    <w:link w:val="27"/>
    <w:qFormat/>
    <w:uiPriority w:val="0"/>
    <w:pPr>
      <w:snapToGrid w:val="0"/>
      <w:jc w:val="left"/>
    </w:pPr>
    <w:rPr>
      <w:sz w:val="18"/>
      <w:szCs w:val="18"/>
    </w:rPr>
  </w:style>
  <w:style w:type="paragraph" w:styleId="16">
    <w:name w:val="Title"/>
    <w:basedOn w:val="1"/>
    <w:next w:val="1"/>
    <w:link w:val="28"/>
    <w:qFormat/>
    <w:uiPriority w:val="0"/>
    <w:pPr>
      <w:spacing w:before="240" w:after="60"/>
      <w:ind w:firstLine="640" w:firstLineChars="0"/>
      <w:jc w:val="center"/>
      <w:outlineLvl w:val="0"/>
    </w:pPr>
    <w:rPr>
      <w:rFonts w:cstheme="majorBidi"/>
      <w:bCs/>
      <w:sz w:val="32"/>
      <w:szCs w:val="32"/>
    </w:rPr>
  </w:style>
  <w:style w:type="paragraph" w:styleId="17">
    <w:name w:val="annotation subject"/>
    <w:basedOn w:val="11"/>
    <w:next w:val="11"/>
    <w:link w:val="30"/>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styleId="23">
    <w:name w:val="footnote reference"/>
    <w:basedOn w:val="20"/>
    <w:qFormat/>
    <w:uiPriority w:val="0"/>
    <w:rPr>
      <w:vertAlign w:val="superscript"/>
    </w:rPr>
  </w:style>
  <w:style w:type="paragraph" w:customStyle="1" w:styleId="24">
    <w:name w:val="Body text|2"/>
    <w:basedOn w:val="1"/>
    <w:qFormat/>
    <w:uiPriority w:val="0"/>
    <w:pPr>
      <w:spacing w:after="260"/>
      <w:ind w:firstLine="700"/>
    </w:pPr>
  </w:style>
  <w:style w:type="paragraph" w:customStyle="1" w:styleId="25">
    <w:name w:val="Body text|1"/>
    <w:basedOn w:val="1"/>
    <w:qFormat/>
    <w:uiPriority w:val="0"/>
    <w:pPr>
      <w:spacing w:line="252" w:lineRule="auto"/>
      <w:ind w:firstLine="220"/>
    </w:pPr>
    <w:rPr>
      <w:sz w:val="20"/>
      <w:szCs w:val="20"/>
    </w:rPr>
  </w:style>
  <w:style w:type="paragraph" w:customStyle="1" w:styleId="26">
    <w:name w:val="Revision"/>
    <w:hidden/>
    <w:semiHidden/>
    <w:qFormat/>
    <w:uiPriority w:val="99"/>
    <w:rPr>
      <w:rFonts w:ascii="Arial" w:hAnsi="Arial" w:eastAsia="微软雅黑" w:cs="Times New Roman"/>
      <w:kern w:val="2"/>
      <w:sz w:val="21"/>
      <w:szCs w:val="24"/>
      <w:lang w:val="en-US" w:eastAsia="zh-CN" w:bidi="ar-SA"/>
    </w:rPr>
  </w:style>
  <w:style w:type="character" w:customStyle="1" w:styleId="27">
    <w:name w:val="脚注文本 字符"/>
    <w:basedOn w:val="20"/>
    <w:link w:val="15"/>
    <w:qFormat/>
    <w:uiPriority w:val="0"/>
    <w:rPr>
      <w:rFonts w:ascii="Arial" w:hAnsi="Arial" w:eastAsia="微软雅黑"/>
      <w:kern w:val="2"/>
      <w:sz w:val="18"/>
      <w:szCs w:val="18"/>
    </w:rPr>
  </w:style>
  <w:style w:type="character" w:customStyle="1" w:styleId="28">
    <w:name w:val="标题 字符"/>
    <w:basedOn w:val="20"/>
    <w:link w:val="16"/>
    <w:qFormat/>
    <w:uiPriority w:val="0"/>
    <w:rPr>
      <w:rFonts w:cstheme="majorBidi"/>
      <w:bCs/>
      <w:kern w:val="2"/>
      <w:sz w:val="32"/>
      <w:szCs w:val="32"/>
    </w:rPr>
  </w:style>
  <w:style w:type="character" w:customStyle="1" w:styleId="29">
    <w:name w:val="批注文字 字符"/>
    <w:basedOn w:val="20"/>
    <w:link w:val="11"/>
    <w:qFormat/>
    <w:uiPriority w:val="0"/>
    <w:rPr>
      <w:rFonts w:ascii="Arial" w:hAnsi="Arial" w:eastAsia="微软雅黑"/>
      <w:kern w:val="2"/>
      <w:sz w:val="21"/>
      <w:szCs w:val="24"/>
    </w:rPr>
  </w:style>
  <w:style w:type="character" w:customStyle="1" w:styleId="30">
    <w:name w:val="批注主题 字符"/>
    <w:basedOn w:val="29"/>
    <w:link w:val="17"/>
    <w:qFormat/>
    <w:uiPriority w:val="0"/>
    <w:rPr>
      <w:rFonts w:ascii="Arial" w:hAnsi="Arial" w:eastAsia="微软雅黑"/>
      <w:b/>
      <w:bCs/>
      <w:kern w:val="2"/>
      <w:sz w:val="21"/>
      <w:szCs w:val="24"/>
    </w:rPr>
  </w:style>
  <w:style w:type="paragraph" w:styleId="31">
    <w:name w:val="List Paragraph"/>
    <w:basedOn w:val="1"/>
    <w:qFormat/>
    <w:uiPriority w:val="99"/>
  </w:style>
  <w:style w:type="paragraph" w:customStyle="1" w:styleId="32">
    <w:name w:val="EndNote Bibliography Title"/>
    <w:basedOn w:val="1"/>
    <w:link w:val="33"/>
    <w:qFormat/>
    <w:uiPriority w:val="0"/>
    <w:pPr>
      <w:jc w:val="center"/>
    </w:pPr>
    <w:rPr>
      <w:sz w:val="20"/>
    </w:rPr>
  </w:style>
  <w:style w:type="character" w:customStyle="1" w:styleId="33">
    <w:name w:val="EndNote Bibliography Title 字符"/>
    <w:basedOn w:val="20"/>
    <w:link w:val="32"/>
    <w:qFormat/>
    <w:uiPriority w:val="0"/>
    <w:rPr>
      <w:kern w:val="2"/>
      <w:szCs w:val="24"/>
    </w:rPr>
  </w:style>
  <w:style w:type="paragraph" w:customStyle="1" w:styleId="34">
    <w:name w:val="EndNote Bibliography"/>
    <w:basedOn w:val="1"/>
    <w:link w:val="35"/>
    <w:qFormat/>
    <w:uiPriority w:val="0"/>
    <w:rPr>
      <w:sz w:val="20"/>
    </w:rPr>
  </w:style>
  <w:style w:type="character" w:customStyle="1" w:styleId="35">
    <w:name w:val="EndNote Bibliography 字符"/>
    <w:basedOn w:val="20"/>
    <w:link w:val="34"/>
    <w:qFormat/>
    <w:uiPriority w:val="0"/>
    <w:rPr>
      <w:kern w:val="2"/>
      <w:szCs w:val="24"/>
    </w:rPr>
  </w:style>
  <w:style w:type="character" w:customStyle="1" w:styleId="36">
    <w:name w:val="Unresolved Mention"/>
    <w:basedOn w:val="20"/>
    <w:semiHidden/>
    <w:unhideWhenUsed/>
    <w:qFormat/>
    <w:uiPriority w:val="99"/>
    <w:rPr>
      <w:color w:val="605E5C"/>
      <w:shd w:val="clear" w:color="auto" w:fill="E1DFDD"/>
    </w:rPr>
  </w:style>
  <w:style w:type="character" w:customStyle="1" w:styleId="37">
    <w:name w:val="Subtle Emphasis"/>
    <w:basedOn w:val="20"/>
    <w:qFormat/>
    <w:uiPriority w:val="19"/>
    <w:rPr>
      <w:i/>
      <w:iCs/>
      <w:color w:val="404040" w:themeColor="text1" w:themeTint="BF"/>
      <w14:textFill>
        <w14:solidFill>
          <w14:schemeClr w14:val="tx1">
            <w14:lumMod w14:val="75000"/>
            <w14:lumOff w14:val="25000"/>
          </w14:schemeClr>
        </w14:solidFill>
      </w14:textFill>
    </w:rPr>
  </w:style>
  <w:style w:type="character" w:customStyle="1" w:styleId="38">
    <w:name w:val="Intense Emphasis"/>
    <w:basedOn w:val="20"/>
    <w:qFormat/>
    <w:uiPriority w:val="21"/>
    <w:rPr>
      <w:i/>
      <w:iCs/>
      <w:color w:val="5B9BD5" w:themeColor="accent1"/>
      <w14:textFill>
        <w14:solidFill>
          <w14:schemeClr w14:val="accent1"/>
        </w14:solidFill>
      </w14:textFill>
    </w:rPr>
  </w:style>
  <w:style w:type="character" w:customStyle="1" w:styleId="39">
    <w:name w:val="Subtle Reference"/>
    <w:basedOn w:val="2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0">
    <w:name w:val="Intense Reference"/>
    <w:basedOn w:val="20"/>
    <w:qFormat/>
    <w:uiPriority w:val="32"/>
    <w:rPr>
      <w:b/>
      <w:bCs/>
      <w:smallCaps/>
      <w:color w:val="5B9BD5" w:themeColor="accent1"/>
      <w:spacing w:val="5"/>
      <w14:textFill>
        <w14:solidFill>
          <w14:schemeClr w14:val="accent1"/>
        </w14:solidFill>
      </w14:textFill>
    </w:rPr>
  </w:style>
  <w:style w:type="character" w:customStyle="1" w:styleId="41">
    <w:name w:val="Book Title"/>
    <w:basedOn w:val="20"/>
    <w:qFormat/>
    <w:uiPriority w:val="33"/>
    <w:rPr>
      <w:b/>
      <w:bCs/>
      <w:i/>
      <w:iCs/>
      <w:spacing w:val="5"/>
    </w:rPr>
  </w:style>
  <w:style w:type="character" w:customStyle="1" w:styleId="42">
    <w:name w:val="副标题 字符"/>
    <w:basedOn w:val="20"/>
    <w:link w:val="14"/>
    <w:qFormat/>
    <w:uiPriority w:val="0"/>
    <w:rPr>
      <w:rFonts w:cstheme="minorBidi"/>
      <w:bCs/>
      <w:kern w:val="28"/>
      <w:sz w:val="18"/>
      <w:szCs w:val="32"/>
    </w:rPr>
  </w:style>
  <w:style w:type="character" w:customStyle="1" w:styleId="43">
    <w:name w:val="书籍标题1"/>
    <w:basedOn w:val="20"/>
    <w:qFormat/>
    <w:uiPriority w:val="33"/>
    <w:rPr>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27315</Words>
  <Characters>32143</Characters>
  <Lines>422</Lines>
  <Paragraphs>119</Paragraphs>
  <TotalTime>29</TotalTime>
  <ScaleCrop>false</ScaleCrop>
  <LinksUpToDate>false</LinksUpToDate>
  <CharactersWithSpaces>32965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2023-02-10T13:58:00Z</dcterms:created>
  <dc:creator>wang</dc:creator>
  <cp:lastModifiedBy>秋空霁海</cp:lastModifiedBy>
  <cp:lastPrinted>2023-02-12T23:46:00Z</cp:lastPrinted>
  <dcterms:modified xsi:type="dcterms:W3CDTF">2023-02-13T00:02:14Z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07F1A8BA61684F65905E30FEE5215BA6</vt:lpwstr>
  </property>
  <property fmtid="{D5CDD505-2E9C-101B-9397-08002B2CF9AE}" pid="6" name="commondata">
    <vt:lpwstr>eyJoZGlkIjoiZGJjMzVmMTRjMTEyY2Y5MWE2OTA1YzY4NjQ3YWQ5NGQifQ==</vt:lpwstr>
  </property>
</Properties>
</file>